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959"/>
          <w:tab w:val="center" w:pos="6652"/>
        </w:tabs>
        <w:adjustRightInd w:val="0"/>
        <w:snapToGrid w:val="0"/>
        <w:spacing w:after="157" w:afterLines="50" w:line="240" w:lineRule="auto"/>
        <w:ind w:left="-171" w:leftChars="-95" w:right="-420" w:rightChars="-200" w:hanging="28" w:hangingChars="9"/>
        <w:jc w:val="left"/>
        <w:outlineLvl w:val="9"/>
        <w:rPr>
          <w:rFonts w:hint="eastAsia" w:ascii="宋体" w:hAnsi="宋体" w:eastAsia="宋体" w:cs="宋体"/>
          <w:b/>
          <w:bCs/>
          <w:sz w:val="32"/>
          <w:szCs w:val="32"/>
          <w:lang w:eastAsia="zh-CN"/>
        </w:rPr>
      </w:pPr>
      <w:bookmarkStart w:id="103" w:name="_GoBack"/>
      <w:bookmarkEnd w:id="103"/>
      <w:r>
        <w:rPr>
          <w:rFonts w:hint="eastAsia" w:ascii="仿宋_GB2312" w:hAnsi="仿宋_GB2312" w:eastAsia="仿宋_GB2312" w:cs="仿宋_GB2312"/>
          <w:b w:val="0"/>
          <w:bCs/>
          <w:color w:val="000000"/>
          <w:kern w:val="0"/>
          <w:sz w:val="32"/>
          <w:szCs w:val="32"/>
          <w:highlight w:val="none"/>
          <w:lang w:val="en-US" w:eastAsia="zh-CN" w:bidi="ar"/>
        </w:rPr>
        <w:t>附件</w:t>
      </w:r>
      <w:r>
        <w:rPr>
          <w:rFonts w:hint="default" w:ascii="Times New Roman" w:hAnsi="Times New Roman" w:eastAsia="黑体" w:cs="Times New Roman"/>
          <w:b/>
          <w:bCs w:val="0"/>
          <w:color w:val="000000"/>
          <w:kern w:val="0"/>
          <w:sz w:val="32"/>
          <w:szCs w:val="32"/>
          <w:highlight w:val="none"/>
          <w:lang w:val="en-US" w:eastAsia="zh-CN" w:bidi="ar"/>
        </w:rPr>
        <w:t xml:space="preserve">       </w:t>
      </w:r>
      <w:r>
        <w:rPr>
          <w:rFonts w:hint="eastAsia" w:ascii="Times New Roman" w:hAnsi="Times New Roman" w:eastAsia="黑体" w:cs="Times New Roman"/>
          <w:b/>
          <w:bCs w:val="0"/>
          <w:color w:val="000000"/>
          <w:kern w:val="0"/>
          <w:sz w:val="32"/>
          <w:szCs w:val="32"/>
          <w:highlight w:val="none"/>
          <w:lang w:val="en-US" w:eastAsia="zh-CN" w:bidi="ar"/>
        </w:rPr>
        <w:t xml:space="preserve"> </w:t>
      </w:r>
      <w:r>
        <w:rPr>
          <w:rFonts w:hint="default" w:ascii="Times New Roman" w:hAnsi="Times New Roman" w:eastAsia="黑体" w:cs="Times New Roman"/>
          <w:b/>
          <w:bCs w:val="0"/>
          <w:color w:val="000000"/>
          <w:kern w:val="0"/>
          <w:sz w:val="32"/>
          <w:szCs w:val="32"/>
          <w:highlight w:val="none"/>
          <w:lang w:val="en-US" w:eastAsia="zh-CN" w:bidi="ar"/>
        </w:rPr>
        <w:t xml:space="preserve">                                                                                                       </w:t>
      </w:r>
    </w:p>
    <w:p>
      <w:pPr>
        <w:adjustRightInd w:val="0"/>
        <w:snapToGrid w:val="0"/>
        <w:spacing w:line="300" w:lineRule="auto"/>
        <w:ind w:left="0" w:leftChars="0" w:firstLine="0" w:firstLineChars="0"/>
        <w:jc w:val="center"/>
      </w:pPr>
      <w:r>
        <w:rPr>
          <w:rFonts w:hint="eastAsia" w:ascii="宋体" w:hAnsi="宋体" w:eastAsia="宋体" w:cs="宋体"/>
          <w:b/>
          <w:bCs/>
          <w:sz w:val="32"/>
          <w:szCs w:val="32"/>
          <w:lang w:val="en-US" w:eastAsia="zh-CN"/>
        </w:rPr>
        <w:t xml:space="preserve">                                                                                                            </w:t>
      </w:r>
    </w:p>
    <w:p>
      <w:pPr>
        <w:adjustRightInd w:val="0"/>
        <w:snapToGrid w:val="0"/>
        <w:spacing w:line="480" w:lineRule="auto"/>
        <w:jc w:val="center"/>
        <w:rPr>
          <w:rFonts w:hint="eastAsia" w:ascii="方正小标宋简体" w:hAnsi="方正小标宋简体" w:eastAsia="方正小标宋简体" w:cs="方正小标宋简体"/>
          <w:b w:val="0"/>
          <w:bCs w:val="0"/>
          <w:color w:val="auto"/>
          <w:sz w:val="44"/>
          <w:szCs w:val="44"/>
          <w:highlight w:val="none"/>
          <w:lang w:val="en-US" w:eastAsia="zh-CN"/>
        </w:rPr>
      </w:pPr>
    </w:p>
    <w:p>
      <w:pPr>
        <w:adjustRightInd w:val="0"/>
        <w:snapToGrid w:val="0"/>
        <w:spacing w:line="480" w:lineRule="auto"/>
        <w:jc w:val="center"/>
        <w:rPr>
          <w:rFonts w:hint="default" w:ascii="Times New Roman" w:hAnsi="Times New Roman" w:eastAsia="黑体" w:cs="Times New Roman"/>
          <w:b/>
          <w:bCs/>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柳州</w:t>
      </w:r>
      <w:r>
        <w:rPr>
          <w:rFonts w:hint="eastAsia" w:ascii="方正小标宋简体" w:hAnsi="方正小标宋简体" w:eastAsia="方正小标宋简体" w:cs="方正小标宋简体"/>
          <w:b w:val="0"/>
          <w:bCs w:val="0"/>
          <w:color w:val="auto"/>
          <w:sz w:val="44"/>
          <w:szCs w:val="44"/>
          <w:highlight w:val="none"/>
        </w:rPr>
        <w:t>市</w:t>
      </w:r>
      <w:r>
        <w:rPr>
          <w:rFonts w:hint="eastAsia" w:ascii="方正小标宋简体" w:hAnsi="方正小标宋简体" w:eastAsia="方正小标宋简体" w:cs="方正小标宋简体"/>
          <w:b w:val="0"/>
          <w:bCs w:val="0"/>
          <w:color w:val="auto"/>
          <w:sz w:val="44"/>
          <w:szCs w:val="44"/>
          <w:highlight w:val="none"/>
          <w:lang w:val="en-US" w:eastAsia="zh-CN"/>
        </w:rPr>
        <w:t>环境管控单元生态环境准入及管控要求清单</w:t>
      </w:r>
      <w:r>
        <w:rPr>
          <w:rFonts w:hint="eastAsia" w:ascii="方正小标宋简体" w:hAnsi="方正小标宋简体" w:eastAsia="方正小标宋简体" w:cs="方正小标宋简体"/>
          <w:b w:val="0"/>
          <w:bCs w:val="0"/>
          <w:color w:val="auto"/>
          <w:sz w:val="44"/>
          <w:szCs w:val="44"/>
          <w:highlight w:val="none"/>
          <w:lang w:eastAsia="zh-CN"/>
        </w:rPr>
        <w:t>（试行）</w:t>
      </w:r>
    </w:p>
    <w:p>
      <w:pPr>
        <w:adjustRightInd w:val="0"/>
        <w:snapToGrid w:val="0"/>
        <w:spacing w:line="360" w:lineRule="auto"/>
        <w:jc w:val="center"/>
        <w:rPr>
          <w:rFonts w:hint="default" w:ascii="Times New Roman" w:hAnsi="Times New Roman" w:eastAsia="黑体" w:cs="Times New Roman"/>
          <w:b/>
          <w:bCs/>
          <w:color w:val="auto"/>
          <w:sz w:val="44"/>
          <w:szCs w:val="48"/>
          <w:highlight w:val="none"/>
          <w:u w:val="none"/>
        </w:rPr>
        <w:sectPr>
          <w:footerReference r:id="rId5" w:type="default"/>
          <w:footerReference r:id="rId6" w:type="even"/>
          <w:pgSz w:w="16838" w:h="11905" w:orient="landscape"/>
          <w:pgMar w:top="1797" w:right="1440" w:bottom="1797" w:left="1440" w:header="851" w:footer="992" w:gutter="0"/>
          <w:pgNumType w:fmt="upperRoman" w:start="1"/>
          <w:cols w:space="0" w:num="1"/>
          <w:rtlGutter w:val="0"/>
          <w:docGrid w:type="lines" w:linePitch="312" w:charSpace="0"/>
        </w:sectPr>
      </w:pPr>
    </w:p>
    <w:p>
      <w:pPr>
        <w:widowControl w:val="0"/>
        <w:adjustRightInd w:val="0"/>
        <w:snapToGrid w:val="0"/>
        <w:spacing w:after="0" w:line="360" w:lineRule="auto"/>
        <w:jc w:val="center"/>
        <w:rPr>
          <w:rFonts w:hint="default" w:ascii="Times New Roman" w:hAnsi="Times New Roman" w:cs="Times New Roman" w:eastAsiaTheme="minorEastAsia"/>
          <w:b/>
          <w:bCs/>
          <w:color w:val="auto"/>
          <w:kern w:val="2"/>
          <w:sz w:val="44"/>
          <w:szCs w:val="48"/>
          <w:highlight w:val="none"/>
          <w:lang w:val="en-US" w:eastAsia="zh-CN" w:bidi="ar-SA"/>
        </w:rPr>
        <w:sectPr>
          <w:headerReference r:id="rId7" w:type="default"/>
          <w:footerReference r:id="rId9" w:type="default"/>
          <w:headerReference r:id="rId8" w:type="even"/>
          <w:footerReference r:id="rId10" w:type="even"/>
          <w:pgSz w:w="16838" w:h="11905" w:orient="landscape"/>
          <w:pgMar w:top="1797" w:right="1440" w:bottom="1797" w:left="1440" w:header="851" w:footer="992" w:gutter="0"/>
          <w:pgNumType w:fmt="upperRoman" w:start="1"/>
          <w:cols w:space="0" w:num="1"/>
          <w:rtlGutter w:val="0"/>
          <w:docGrid w:type="lines" w:linePitch="312" w:charSpace="0"/>
        </w:sectPr>
      </w:pPr>
      <w:r>
        <w:rPr>
          <w:rFonts w:hint="default" w:ascii="Times New Roman" w:hAnsi="Times New Roman" w:cs="Times New Roman" w:eastAsiaTheme="minorEastAsia"/>
          <w:b/>
          <w:bCs/>
          <w:color w:val="auto"/>
          <w:kern w:val="2"/>
          <w:sz w:val="44"/>
          <w:szCs w:val="48"/>
          <w:highlight w:val="none"/>
          <w:lang w:val="en-US" w:eastAsia="zh-CN" w:bidi="ar-SA"/>
        </w:rPr>
        <w:t>目  录</w:t>
      </w:r>
    </w:p>
    <w:p>
      <w:pPr>
        <w:pStyle w:val="12"/>
        <w:tabs>
          <w:tab w:val="right" w:leader="dot" w:pos="13958"/>
        </w:tabs>
      </w:pPr>
      <w:r>
        <w:rPr>
          <w:rFonts w:hint="default" w:ascii="Times New Roman" w:hAnsi="Times New Roman" w:cs="Times New Roman" w:eastAsiaTheme="minorEastAsia"/>
          <w:b w:val="0"/>
          <w:bCs w:val="0"/>
          <w:color w:val="auto"/>
          <w:kern w:val="0"/>
          <w:sz w:val="28"/>
          <w:szCs w:val="28"/>
          <w:highlight w:val="none"/>
          <w:lang w:val="en-US" w:eastAsia="zh-CN" w:bidi="ar-SA"/>
        </w:rPr>
        <w:fldChar w:fldCharType="begin"/>
      </w:r>
      <w:r>
        <w:rPr>
          <w:rFonts w:hint="default" w:ascii="Times New Roman" w:hAnsi="Times New Roman" w:cs="Times New Roman" w:eastAsiaTheme="minorEastAsia"/>
          <w:b w:val="0"/>
          <w:bCs w:val="0"/>
          <w:color w:val="auto"/>
          <w:kern w:val="0"/>
          <w:sz w:val="28"/>
          <w:szCs w:val="28"/>
          <w:highlight w:val="none"/>
          <w:lang w:val="en-US" w:eastAsia="zh-CN" w:bidi="ar-SA"/>
        </w:rPr>
        <w:instrText xml:space="preserve"> TOC \o "1-3" \h \z \u </w:instrText>
      </w:r>
      <w:r>
        <w:rPr>
          <w:rFonts w:hint="default" w:ascii="Times New Roman" w:hAnsi="Times New Roman" w:cs="Times New Roman" w:eastAsiaTheme="minorEastAsia"/>
          <w:b w:val="0"/>
          <w:bCs w:val="0"/>
          <w:color w:val="auto"/>
          <w:kern w:val="0"/>
          <w:sz w:val="28"/>
          <w:szCs w:val="28"/>
          <w:highlight w:val="none"/>
          <w:lang w:val="en-US" w:eastAsia="zh-CN" w:bidi="ar-SA"/>
        </w:rPr>
        <w:fldChar w:fldCharType="separate"/>
      </w:r>
      <w:r>
        <w:rPr>
          <w:rFonts w:hint="default" w:ascii="Times New Roman" w:hAnsi="Times New Roman" w:cs="Times New Roman" w:eastAsiaTheme="minorEastAsia"/>
          <w:bCs w:val="0"/>
          <w:color w:val="auto"/>
          <w:kern w:val="0"/>
          <w:szCs w:val="28"/>
          <w:highlight w:val="none"/>
          <w:lang w:val="en-US" w:eastAsia="zh-CN" w:bidi="ar-SA"/>
        </w:rPr>
        <w:fldChar w:fldCharType="begin"/>
      </w:r>
      <w:r>
        <w:rPr>
          <w:rFonts w:hint="default" w:ascii="Times New Roman" w:hAnsi="Times New Roman" w:cs="Times New Roman" w:eastAsiaTheme="minorEastAsia"/>
          <w:bCs w:val="0"/>
          <w:kern w:val="0"/>
          <w:szCs w:val="28"/>
          <w:highlight w:val="none"/>
          <w:lang w:val="en-US" w:eastAsia="zh-CN" w:bidi="ar-SA"/>
        </w:rPr>
        <w:instrText xml:space="preserve"> HYPERLINK \l _Toc18932 </w:instrText>
      </w:r>
      <w:r>
        <w:rPr>
          <w:rFonts w:hint="default" w:ascii="Times New Roman" w:hAnsi="Times New Roman" w:cs="Times New Roman" w:eastAsiaTheme="minorEastAsia"/>
          <w:bCs w:val="0"/>
          <w:kern w:val="0"/>
          <w:szCs w:val="28"/>
          <w:highlight w:val="none"/>
          <w:lang w:val="en-US" w:eastAsia="zh-CN" w:bidi="ar-SA"/>
        </w:rPr>
        <w:fldChar w:fldCharType="separate"/>
      </w:r>
      <w:r>
        <w:rPr>
          <w:rFonts w:hint="eastAsia"/>
          <w:highlight w:val="none"/>
          <w:lang w:val="en-US" w:eastAsia="zh-CN"/>
        </w:rPr>
        <w:t>1</w:t>
      </w:r>
      <w:r>
        <w:rPr>
          <w:rFonts w:hint="default"/>
          <w:highlight w:val="none"/>
          <w:lang w:val="en-US" w:eastAsia="zh-CN"/>
        </w:rPr>
        <w:t xml:space="preserve"> </w:t>
      </w:r>
      <w:r>
        <w:rPr>
          <w:rFonts w:hint="default"/>
          <w:highlight w:val="none"/>
        </w:rPr>
        <w:t>城中区</w:t>
      </w:r>
      <w:r>
        <w:tab/>
      </w:r>
      <w:r>
        <w:fldChar w:fldCharType="begin"/>
      </w:r>
      <w:r>
        <w:instrText xml:space="preserve"> PAGEREF _Toc18932 \h </w:instrText>
      </w:r>
      <w:r>
        <w:fldChar w:fldCharType="separate"/>
      </w:r>
      <w:r>
        <w:t>1</w:t>
      </w:r>
      <w:r>
        <w:fldChar w:fldCharType="end"/>
      </w:r>
      <w:r>
        <w:rPr>
          <w:rFonts w:hint="default" w:ascii="Times New Roman" w:hAnsi="Times New Roman" w:cs="Times New Roman" w:eastAsiaTheme="minorEastAsia"/>
          <w:bCs w:val="0"/>
          <w:color w:val="auto"/>
          <w:kern w:val="0"/>
          <w:szCs w:val="28"/>
          <w:highlight w:val="none"/>
          <w:lang w:val="en-US" w:eastAsia="zh-CN" w:bidi="ar-SA"/>
        </w:rPr>
        <w:fldChar w:fldCharType="end"/>
      </w:r>
    </w:p>
    <w:p>
      <w:pPr>
        <w:pStyle w:val="12"/>
        <w:tabs>
          <w:tab w:val="right" w:leader="dot" w:pos="13958"/>
        </w:tabs>
      </w:pPr>
      <w:r>
        <w:rPr>
          <w:rFonts w:hint="default" w:ascii="Times New Roman" w:hAnsi="Times New Roman" w:cs="Times New Roman" w:eastAsiaTheme="minorEastAsia"/>
          <w:bCs w:val="0"/>
          <w:color w:val="auto"/>
          <w:kern w:val="0"/>
          <w:szCs w:val="28"/>
          <w:highlight w:val="none"/>
        </w:rPr>
        <w:fldChar w:fldCharType="begin"/>
      </w:r>
      <w:r>
        <w:rPr>
          <w:rFonts w:hint="default" w:ascii="Times New Roman" w:hAnsi="Times New Roman" w:cs="Times New Roman" w:eastAsiaTheme="minorEastAsia"/>
          <w:bCs w:val="0"/>
          <w:kern w:val="0"/>
          <w:szCs w:val="28"/>
          <w:highlight w:val="none"/>
        </w:rPr>
        <w:instrText xml:space="preserve"> HYPERLINK \l _Toc22529 </w:instrText>
      </w:r>
      <w:r>
        <w:rPr>
          <w:rFonts w:hint="default" w:ascii="Times New Roman" w:hAnsi="Times New Roman" w:cs="Times New Roman" w:eastAsiaTheme="minorEastAsia"/>
          <w:bCs w:val="0"/>
          <w:kern w:val="0"/>
          <w:szCs w:val="28"/>
          <w:highlight w:val="none"/>
        </w:rPr>
        <w:fldChar w:fldCharType="separate"/>
      </w:r>
      <w:r>
        <w:rPr>
          <w:rFonts w:hint="default" w:ascii="Times New Roman" w:hAnsi="Times New Roman" w:cs="Times New Roman"/>
          <w:highlight w:val="none"/>
          <w:lang w:val="en-US" w:eastAsia="zh-CN"/>
        </w:rPr>
        <w:t xml:space="preserve">2 </w:t>
      </w:r>
      <w:r>
        <w:rPr>
          <w:rFonts w:hint="default" w:ascii="Times New Roman" w:hAnsi="Times New Roman" w:cs="Times New Roman"/>
          <w:highlight w:val="none"/>
        </w:rPr>
        <w:t>鱼峰区</w:t>
      </w:r>
      <w:r>
        <w:tab/>
      </w:r>
      <w:r>
        <w:fldChar w:fldCharType="begin"/>
      </w:r>
      <w:r>
        <w:instrText xml:space="preserve"> PAGEREF _Toc22529 \h </w:instrText>
      </w:r>
      <w:r>
        <w:fldChar w:fldCharType="separate"/>
      </w:r>
      <w:r>
        <w:t>4</w:t>
      </w:r>
      <w:r>
        <w:fldChar w:fldCharType="end"/>
      </w:r>
      <w:r>
        <w:rPr>
          <w:rFonts w:hint="default" w:ascii="Times New Roman" w:hAnsi="Times New Roman" w:cs="Times New Roman" w:eastAsiaTheme="minorEastAsia"/>
          <w:bCs w:val="0"/>
          <w:color w:val="auto"/>
          <w:kern w:val="0"/>
          <w:szCs w:val="28"/>
          <w:highlight w:val="none"/>
        </w:rPr>
        <w:fldChar w:fldCharType="end"/>
      </w:r>
    </w:p>
    <w:p>
      <w:pPr>
        <w:pStyle w:val="12"/>
        <w:tabs>
          <w:tab w:val="right" w:leader="dot" w:pos="13958"/>
        </w:tabs>
      </w:pPr>
      <w:r>
        <w:rPr>
          <w:rFonts w:hint="default" w:ascii="Times New Roman" w:hAnsi="Times New Roman" w:cs="Times New Roman" w:eastAsiaTheme="minorEastAsia"/>
          <w:bCs w:val="0"/>
          <w:color w:val="auto"/>
          <w:kern w:val="0"/>
          <w:szCs w:val="28"/>
          <w:highlight w:val="none"/>
        </w:rPr>
        <w:fldChar w:fldCharType="begin"/>
      </w:r>
      <w:r>
        <w:rPr>
          <w:rFonts w:hint="default" w:ascii="Times New Roman" w:hAnsi="Times New Roman" w:cs="Times New Roman" w:eastAsiaTheme="minorEastAsia"/>
          <w:bCs w:val="0"/>
          <w:kern w:val="0"/>
          <w:szCs w:val="28"/>
          <w:highlight w:val="none"/>
        </w:rPr>
        <w:instrText xml:space="preserve"> HYPERLINK \l _Toc19185 </w:instrText>
      </w:r>
      <w:r>
        <w:rPr>
          <w:rFonts w:hint="default" w:ascii="Times New Roman" w:hAnsi="Times New Roman" w:cs="Times New Roman" w:eastAsiaTheme="minorEastAsia"/>
          <w:bCs w:val="0"/>
          <w:kern w:val="0"/>
          <w:szCs w:val="28"/>
          <w:highlight w:val="none"/>
        </w:rPr>
        <w:fldChar w:fldCharType="separate"/>
      </w:r>
      <w:r>
        <w:rPr>
          <w:rFonts w:hint="default" w:ascii="Times New Roman" w:hAnsi="Times New Roman" w:cs="Times New Roman"/>
          <w:highlight w:val="none"/>
          <w:lang w:val="en-US" w:eastAsia="zh-CN"/>
        </w:rPr>
        <w:t xml:space="preserve">3 </w:t>
      </w:r>
      <w:r>
        <w:rPr>
          <w:rFonts w:hint="default" w:ascii="Times New Roman" w:hAnsi="Times New Roman" w:cs="Times New Roman"/>
          <w:highlight w:val="none"/>
        </w:rPr>
        <w:t>柳南区</w:t>
      </w:r>
      <w:r>
        <w:tab/>
      </w:r>
      <w:r>
        <w:fldChar w:fldCharType="begin"/>
      </w:r>
      <w:r>
        <w:instrText xml:space="preserve"> PAGEREF _Toc19185 \h </w:instrText>
      </w:r>
      <w:r>
        <w:fldChar w:fldCharType="separate"/>
      </w:r>
      <w:r>
        <w:t>13</w:t>
      </w:r>
      <w:r>
        <w:fldChar w:fldCharType="end"/>
      </w:r>
      <w:r>
        <w:rPr>
          <w:rFonts w:hint="default" w:ascii="Times New Roman" w:hAnsi="Times New Roman" w:cs="Times New Roman" w:eastAsiaTheme="minorEastAsia"/>
          <w:bCs w:val="0"/>
          <w:color w:val="auto"/>
          <w:kern w:val="0"/>
          <w:szCs w:val="28"/>
          <w:highlight w:val="none"/>
        </w:rPr>
        <w:fldChar w:fldCharType="end"/>
      </w:r>
    </w:p>
    <w:p>
      <w:pPr>
        <w:pStyle w:val="12"/>
        <w:tabs>
          <w:tab w:val="right" w:leader="dot" w:pos="13958"/>
        </w:tabs>
      </w:pPr>
      <w:r>
        <w:rPr>
          <w:rFonts w:hint="default" w:ascii="Times New Roman" w:hAnsi="Times New Roman" w:cs="Times New Roman" w:eastAsiaTheme="minorEastAsia"/>
          <w:bCs w:val="0"/>
          <w:color w:val="auto"/>
          <w:kern w:val="0"/>
          <w:szCs w:val="28"/>
          <w:highlight w:val="none"/>
        </w:rPr>
        <w:fldChar w:fldCharType="begin"/>
      </w:r>
      <w:r>
        <w:rPr>
          <w:rFonts w:hint="default" w:ascii="Times New Roman" w:hAnsi="Times New Roman" w:cs="Times New Roman" w:eastAsiaTheme="minorEastAsia"/>
          <w:bCs w:val="0"/>
          <w:kern w:val="0"/>
          <w:szCs w:val="28"/>
          <w:highlight w:val="none"/>
        </w:rPr>
        <w:instrText xml:space="preserve"> HYPERLINK \l _Toc12042 </w:instrText>
      </w:r>
      <w:r>
        <w:rPr>
          <w:rFonts w:hint="default" w:ascii="Times New Roman" w:hAnsi="Times New Roman" w:cs="Times New Roman" w:eastAsiaTheme="minorEastAsia"/>
          <w:bCs w:val="0"/>
          <w:kern w:val="0"/>
          <w:szCs w:val="28"/>
          <w:highlight w:val="none"/>
        </w:rPr>
        <w:fldChar w:fldCharType="separate"/>
      </w:r>
      <w:r>
        <w:rPr>
          <w:rFonts w:hint="default" w:ascii="Times New Roman" w:hAnsi="Times New Roman" w:cs="Times New Roman"/>
          <w:highlight w:val="none"/>
          <w:lang w:val="en-US" w:eastAsia="zh-CN"/>
        </w:rPr>
        <w:t xml:space="preserve">4 </w:t>
      </w:r>
      <w:r>
        <w:rPr>
          <w:rFonts w:hint="default" w:ascii="Times New Roman" w:hAnsi="Times New Roman" w:cs="Times New Roman"/>
          <w:highlight w:val="none"/>
        </w:rPr>
        <w:t>柳北区</w:t>
      </w:r>
      <w:r>
        <w:tab/>
      </w:r>
      <w:r>
        <w:fldChar w:fldCharType="begin"/>
      </w:r>
      <w:r>
        <w:instrText xml:space="preserve"> PAGEREF _Toc12042 \h </w:instrText>
      </w:r>
      <w:r>
        <w:fldChar w:fldCharType="separate"/>
      </w:r>
      <w:r>
        <w:t>19</w:t>
      </w:r>
      <w:r>
        <w:fldChar w:fldCharType="end"/>
      </w:r>
      <w:r>
        <w:rPr>
          <w:rFonts w:hint="default" w:ascii="Times New Roman" w:hAnsi="Times New Roman" w:cs="Times New Roman" w:eastAsiaTheme="minorEastAsia"/>
          <w:bCs w:val="0"/>
          <w:color w:val="auto"/>
          <w:kern w:val="0"/>
          <w:szCs w:val="28"/>
          <w:highlight w:val="none"/>
        </w:rPr>
        <w:fldChar w:fldCharType="end"/>
      </w:r>
    </w:p>
    <w:p>
      <w:pPr>
        <w:pStyle w:val="12"/>
        <w:tabs>
          <w:tab w:val="right" w:leader="dot" w:pos="13958"/>
        </w:tabs>
      </w:pPr>
      <w:r>
        <w:rPr>
          <w:rFonts w:hint="default" w:ascii="Times New Roman" w:hAnsi="Times New Roman" w:cs="Times New Roman" w:eastAsiaTheme="minorEastAsia"/>
          <w:bCs w:val="0"/>
          <w:color w:val="auto"/>
          <w:kern w:val="0"/>
          <w:szCs w:val="28"/>
          <w:highlight w:val="none"/>
        </w:rPr>
        <w:fldChar w:fldCharType="begin"/>
      </w:r>
      <w:r>
        <w:rPr>
          <w:rFonts w:hint="default" w:ascii="Times New Roman" w:hAnsi="Times New Roman" w:cs="Times New Roman" w:eastAsiaTheme="minorEastAsia"/>
          <w:bCs w:val="0"/>
          <w:kern w:val="0"/>
          <w:szCs w:val="28"/>
          <w:highlight w:val="none"/>
        </w:rPr>
        <w:instrText xml:space="preserve"> HYPERLINK \l _Toc20338 </w:instrText>
      </w:r>
      <w:r>
        <w:rPr>
          <w:rFonts w:hint="default" w:ascii="Times New Roman" w:hAnsi="Times New Roman" w:cs="Times New Roman" w:eastAsiaTheme="minorEastAsia"/>
          <w:bCs w:val="0"/>
          <w:kern w:val="0"/>
          <w:szCs w:val="28"/>
          <w:highlight w:val="none"/>
        </w:rPr>
        <w:fldChar w:fldCharType="separate"/>
      </w:r>
      <w:r>
        <w:rPr>
          <w:rFonts w:hint="default" w:ascii="Times New Roman" w:hAnsi="Times New Roman" w:cs="Times New Roman"/>
          <w:highlight w:val="none"/>
          <w:lang w:val="en-US" w:eastAsia="zh-CN"/>
        </w:rPr>
        <w:t xml:space="preserve">5 </w:t>
      </w:r>
      <w:r>
        <w:rPr>
          <w:rFonts w:hint="default" w:ascii="Times New Roman" w:hAnsi="Times New Roman" w:cs="Times New Roman"/>
          <w:highlight w:val="none"/>
        </w:rPr>
        <w:t>柳江区</w:t>
      </w:r>
      <w:r>
        <w:tab/>
      </w:r>
      <w:r>
        <w:fldChar w:fldCharType="begin"/>
      </w:r>
      <w:r>
        <w:instrText xml:space="preserve"> PAGEREF _Toc20338 \h </w:instrText>
      </w:r>
      <w:r>
        <w:fldChar w:fldCharType="separate"/>
      </w:r>
      <w:r>
        <w:t>27</w:t>
      </w:r>
      <w:r>
        <w:fldChar w:fldCharType="end"/>
      </w:r>
      <w:r>
        <w:rPr>
          <w:rFonts w:hint="default" w:ascii="Times New Roman" w:hAnsi="Times New Roman" w:cs="Times New Roman" w:eastAsiaTheme="minorEastAsia"/>
          <w:bCs w:val="0"/>
          <w:color w:val="auto"/>
          <w:kern w:val="0"/>
          <w:szCs w:val="28"/>
          <w:highlight w:val="none"/>
        </w:rPr>
        <w:fldChar w:fldCharType="end"/>
      </w:r>
    </w:p>
    <w:p>
      <w:pPr>
        <w:pStyle w:val="12"/>
        <w:tabs>
          <w:tab w:val="right" w:leader="dot" w:pos="13958"/>
        </w:tabs>
      </w:pPr>
      <w:r>
        <w:rPr>
          <w:rFonts w:hint="default" w:ascii="Times New Roman" w:hAnsi="Times New Roman" w:cs="Times New Roman" w:eastAsiaTheme="minorEastAsia"/>
          <w:bCs w:val="0"/>
          <w:color w:val="auto"/>
          <w:kern w:val="0"/>
          <w:szCs w:val="28"/>
          <w:highlight w:val="none"/>
        </w:rPr>
        <w:fldChar w:fldCharType="begin"/>
      </w:r>
      <w:r>
        <w:rPr>
          <w:rFonts w:hint="default" w:ascii="Times New Roman" w:hAnsi="Times New Roman" w:cs="Times New Roman" w:eastAsiaTheme="minorEastAsia"/>
          <w:bCs w:val="0"/>
          <w:kern w:val="0"/>
          <w:szCs w:val="28"/>
          <w:highlight w:val="none"/>
        </w:rPr>
        <w:instrText xml:space="preserve"> HYPERLINK \l _Toc15827 </w:instrText>
      </w:r>
      <w:r>
        <w:rPr>
          <w:rFonts w:hint="default" w:ascii="Times New Roman" w:hAnsi="Times New Roman" w:cs="Times New Roman" w:eastAsiaTheme="minorEastAsia"/>
          <w:bCs w:val="0"/>
          <w:kern w:val="0"/>
          <w:szCs w:val="28"/>
          <w:highlight w:val="none"/>
        </w:rPr>
        <w:fldChar w:fldCharType="separate"/>
      </w:r>
      <w:r>
        <w:rPr>
          <w:rFonts w:hint="default" w:ascii="Times New Roman" w:hAnsi="Times New Roman" w:cs="Times New Roman"/>
          <w:highlight w:val="none"/>
          <w:lang w:val="en-US" w:eastAsia="zh-CN"/>
        </w:rPr>
        <w:t xml:space="preserve">6 </w:t>
      </w:r>
      <w:r>
        <w:rPr>
          <w:rFonts w:hint="default" w:ascii="Times New Roman" w:hAnsi="Times New Roman" w:cs="Times New Roman"/>
          <w:highlight w:val="none"/>
        </w:rPr>
        <w:t>柳城县</w:t>
      </w:r>
      <w:r>
        <w:tab/>
      </w:r>
      <w:r>
        <w:fldChar w:fldCharType="begin"/>
      </w:r>
      <w:r>
        <w:instrText xml:space="preserve"> PAGEREF _Toc15827 \h </w:instrText>
      </w:r>
      <w:r>
        <w:fldChar w:fldCharType="separate"/>
      </w:r>
      <w:r>
        <w:t>33</w:t>
      </w:r>
      <w:r>
        <w:fldChar w:fldCharType="end"/>
      </w:r>
      <w:r>
        <w:rPr>
          <w:rFonts w:hint="default" w:ascii="Times New Roman" w:hAnsi="Times New Roman" w:cs="Times New Roman" w:eastAsiaTheme="minorEastAsia"/>
          <w:bCs w:val="0"/>
          <w:color w:val="auto"/>
          <w:kern w:val="0"/>
          <w:szCs w:val="28"/>
          <w:highlight w:val="none"/>
        </w:rPr>
        <w:fldChar w:fldCharType="end"/>
      </w:r>
    </w:p>
    <w:p>
      <w:pPr>
        <w:pStyle w:val="12"/>
        <w:tabs>
          <w:tab w:val="right" w:leader="dot" w:pos="13958"/>
        </w:tabs>
      </w:pPr>
      <w:r>
        <w:rPr>
          <w:rFonts w:hint="default" w:ascii="Times New Roman" w:hAnsi="Times New Roman" w:cs="Times New Roman" w:eastAsiaTheme="minorEastAsia"/>
          <w:bCs w:val="0"/>
          <w:color w:val="auto"/>
          <w:kern w:val="0"/>
          <w:szCs w:val="28"/>
          <w:highlight w:val="none"/>
        </w:rPr>
        <w:fldChar w:fldCharType="begin"/>
      </w:r>
      <w:r>
        <w:rPr>
          <w:rFonts w:hint="default" w:ascii="Times New Roman" w:hAnsi="Times New Roman" w:cs="Times New Roman" w:eastAsiaTheme="minorEastAsia"/>
          <w:bCs w:val="0"/>
          <w:kern w:val="0"/>
          <w:szCs w:val="28"/>
          <w:highlight w:val="none"/>
        </w:rPr>
        <w:instrText xml:space="preserve"> HYPERLINK \l _Toc8912 </w:instrText>
      </w:r>
      <w:r>
        <w:rPr>
          <w:rFonts w:hint="default" w:ascii="Times New Roman" w:hAnsi="Times New Roman" w:cs="Times New Roman" w:eastAsiaTheme="minorEastAsia"/>
          <w:bCs w:val="0"/>
          <w:kern w:val="0"/>
          <w:szCs w:val="28"/>
          <w:highlight w:val="none"/>
        </w:rPr>
        <w:fldChar w:fldCharType="separate"/>
      </w:r>
      <w:r>
        <w:rPr>
          <w:rFonts w:hint="default" w:ascii="Times New Roman" w:hAnsi="Times New Roman" w:cs="Times New Roman"/>
          <w:strike w:val="0"/>
          <w:dstrike w:val="0"/>
          <w:highlight w:val="none"/>
          <w:lang w:val="en-US" w:eastAsia="zh-CN"/>
        </w:rPr>
        <w:t xml:space="preserve">7 </w:t>
      </w:r>
      <w:r>
        <w:rPr>
          <w:rFonts w:hint="default" w:ascii="Times New Roman" w:hAnsi="Times New Roman" w:cs="Times New Roman"/>
          <w:strike w:val="0"/>
          <w:dstrike w:val="0"/>
          <w:highlight w:val="none"/>
        </w:rPr>
        <w:t>鹿寨县</w:t>
      </w:r>
      <w:r>
        <w:tab/>
      </w:r>
      <w:r>
        <w:fldChar w:fldCharType="begin"/>
      </w:r>
      <w:r>
        <w:instrText xml:space="preserve"> PAGEREF _Toc8912 \h </w:instrText>
      </w:r>
      <w:r>
        <w:fldChar w:fldCharType="separate"/>
      </w:r>
      <w:r>
        <w:t>39</w:t>
      </w:r>
      <w:r>
        <w:fldChar w:fldCharType="end"/>
      </w:r>
      <w:r>
        <w:rPr>
          <w:rFonts w:hint="default" w:ascii="Times New Roman" w:hAnsi="Times New Roman" w:cs="Times New Roman" w:eastAsiaTheme="minorEastAsia"/>
          <w:bCs w:val="0"/>
          <w:color w:val="auto"/>
          <w:kern w:val="0"/>
          <w:szCs w:val="28"/>
          <w:highlight w:val="none"/>
        </w:rPr>
        <w:fldChar w:fldCharType="end"/>
      </w:r>
    </w:p>
    <w:p>
      <w:pPr>
        <w:pStyle w:val="12"/>
        <w:tabs>
          <w:tab w:val="right" w:leader="dot" w:pos="13958"/>
        </w:tabs>
      </w:pPr>
      <w:r>
        <w:rPr>
          <w:rFonts w:hint="default" w:ascii="Times New Roman" w:hAnsi="Times New Roman" w:cs="Times New Roman" w:eastAsiaTheme="minorEastAsia"/>
          <w:bCs w:val="0"/>
          <w:color w:val="auto"/>
          <w:kern w:val="0"/>
          <w:szCs w:val="28"/>
          <w:highlight w:val="none"/>
        </w:rPr>
        <w:fldChar w:fldCharType="begin"/>
      </w:r>
      <w:r>
        <w:rPr>
          <w:rFonts w:hint="default" w:ascii="Times New Roman" w:hAnsi="Times New Roman" w:cs="Times New Roman" w:eastAsiaTheme="minorEastAsia"/>
          <w:bCs w:val="0"/>
          <w:kern w:val="0"/>
          <w:szCs w:val="28"/>
          <w:highlight w:val="none"/>
        </w:rPr>
        <w:instrText xml:space="preserve"> HYPERLINK \l _Toc18091 </w:instrText>
      </w:r>
      <w:r>
        <w:rPr>
          <w:rFonts w:hint="default" w:ascii="Times New Roman" w:hAnsi="Times New Roman" w:cs="Times New Roman" w:eastAsiaTheme="minorEastAsia"/>
          <w:bCs w:val="0"/>
          <w:kern w:val="0"/>
          <w:szCs w:val="28"/>
          <w:highlight w:val="none"/>
        </w:rPr>
        <w:fldChar w:fldCharType="separate"/>
      </w:r>
      <w:r>
        <w:rPr>
          <w:rFonts w:hint="default" w:ascii="Times New Roman" w:hAnsi="Times New Roman" w:cs="Times New Roman"/>
          <w:strike w:val="0"/>
          <w:dstrike w:val="0"/>
          <w:highlight w:val="none"/>
        </w:rPr>
        <w:t>8</w:t>
      </w:r>
      <w:r>
        <w:rPr>
          <w:rFonts w:hint="default" w:ascii="Times New Roman" w:hAnsi="Times New Roman" w:cs="Times New Roman"/>
          <w:strike w:val="0"/>
          <w:dstrike w:val="0"/>
          <w:highlight w:val="none"/>
          <w:lang w:val="en-US" w:eastAsia="zh-CN"/>
        </w:rPr>
        <w:t xml:space="preserve"> </w:t>
      </w:r>
      <w:r>
        <w:rPr>
          <w:rFonts w:hint="default" w:ascii="Times New Roman" w:hAnsi="Times New Roman" w:cs="Times New Roman"/>
          <w:strike w:val="0"/>
          <w:dstrike w:val="0"/>
          <w:highlight w:val="none"/>
        </w:rPr>
        <w:t>融安县</w:t>
      </w:r>
      <w:r>
        <w:tab/>
      </w:r>
      <w:r>
        <w:fldChar w:fldCharType="begin"/>
      </w:r>
      <w:r>
        <w:instrText xml:space="preserve"> PAGEREF _Toc18091 \h </w:instrText>
      </w:r>
      <w:r>
        <w:fldChar w:fldCharType="separate"/>
      </w:r>
      <w:r>
        <w:t>50</w:t>
      </w:r>
      <w:r>
        <w:fldChar w:fldCharType="end"/>
      </w:r>
      <w:r>
        <w:rPr>
          <w:rFonts w:hint="default" w:ascii="Times New Roman" w:hAnsi="Times New Roman" w:cs="Times New Roman" w:eastAsiaTheme="minorEastAsia"/>
          <w:bCs w:val="0"/>
          <w:color w:val="auto"/>
          <w:kern w:val="0"/>
          <w:szCs w:val="28"/>
          <w:highlight w:val="none"/>
        </w:rPr>
        <w:fldChar w:fldCharType="end"/>
      </w:r>
    </w:p>
    <w:p>
      <w:pPr>
        <w:pStyle w:val="12"/>
        <w:tabs>
          <w:tab w:val="right" w:leader="dot" w:pos="13958"/>
        </w:tabs>
      </w:pPr>
      <w:r>
        <w:rPr>
          <w:rFonts w:hint="default" w:ascii="Times New Roman" w:hAnsi="Times New Roman" w:cs="Times New Roman" w:eastAsiaTheme="minorEastAsia"/>
          <w:bCs w:val="0"/>
          <w:color w:val="auto"/>
          <w:kern w:val="0"/>
          <w:szCs w:val="28"/>
          <w:highlight w:val="none"/>
        </w:rPr>
        <w:fldChar w:fldCharType="begin"/>
      </w:r>
      <w:r>
        <w:rPr>
          <w:rFonts w:hint="default" w:ascii="Times New Roman" w:hAnsi="Times New Roman" w:cs="Times New Roman" w:eastAsiaTheme="minorEastAsia"/>
          <w:bCs w:val="0"/>
          <w:kern w:val="0"/>
          <w:szCs w:val="28"/>
          <w:highlight w:val="none"/>
        </w:rPr>
        <w:instrText xml:space="preserve"> HYPERLINK \l _Toc30995 </w:instrText>
      </w:r>
      <w:r>
        <w:rPr>
          <w:rFonts w:hint="default" w:ascii="Times New Roman" w:hAnsi="Times New Roman" w:cs="Times New Roman" w:eastAsiaTheme="minorEastAsia"/>
          <w:bCs w:val="0"/>
          <w:kern w:val="0"/>
          <w:szCs w:val="28"/>
          <w:highlight w:val="none"/>
        </w:rPr>
        <w:fldChar w:fldCharType="separate"/>
      </w:r>
      <w:r>
        <w:rPr>
          <w:rFonts w:hint="default" w:ascii="Times New Roman" w:hAnsi="Times New Roman" w:cs="Times New Roman"/>
          <w:strike w:val="0"/>
          <w:dstrike w:val="0"/>
          <w:highlight w:val="none"/>
        </w:rPr>
        <w:t>9</w:t>
      </w:r>
      <w:r>
        <w:rPr>
          <w:rFonts w:hint="default" w:ascii="Times New Roman" w:hAnsi="Times New Roman" w:cs="Times New Roman"/>
          <w:strike w:val="0"/>
          <w:dstrike w:val="0"/>
          <w:highlight w:val="none"/>
          <w:lang w:val="en-US" w:eastAsia="zh-CN"/>
        </w:rPr>
        <w:t xml:space="preserve"> </w:t>
      </w:r>
      <w:r>
        <w:rPr>
          <w:rFonts w:hint="default" w:ascii="Times New Roman" w:hAnsi="Times New Roman" w:cs="Times New Roman"/>
          <w:strike w:val="0"/>
          <w:dstrike w:val="0"/>
          <w:highlight w:val="none"/>
        </w:rPr>
        <w:t>融水苗族自治县</w:t>
      </w:r>
      <w:r>
        <w:tab/>
      </w:r>
      <w:r>
        <w:fldChar w:fldCharType="begin"/>
      </w:r>
      <w:r>
        <w:instrText xml:space="preserve"> PAGEREF _Toc30995 \h </w:instrText>
      </w:r>
      <w:r>
        <w:fldChar w:fldCharType="separate"/>
      </w:r>
      <w:r>
        <w:t>61</w:t>
      </w:r>
      <w:r>
        <w:fldChar w:fldCharType="end"/>
      </w:r>
      <w:r>
        <w:rPr>
          <w:rFonts w:hint="default" w:ascii="Times New Roman" w:hAnsi="Times New Roman" w:cs="Times New Roman" w:eastAsiaTheme="minorEastAsia"/>
          <w:bCs w:val="0"/>
          <w:color w:val="auto"/>
          <w:kern w:val="0"/>
          <w:szCs w:val="28"/>
          <w:highlight w:val="none"/>
        </w:rPr>
        <w:fldChar w:fldCharType="end"/>
      </w:r>
    </w:p>
    <w:p>
      <w:pPr>
        <w:pStyle w:val="12"/>
        <w:tabs>
          <w:tab w:val="right" w:leader="dot" w:pos="13958"/>
        </w:tabs>
      </w:pPr>
      <w:r>
        <w:rPr>
          <w:rFonts w:hint="default" w:ascii="Times New Roman" w:hAnsi="Times New Roman" w:cs="Times New Roman" w:eastAsiaTheme="minorEastAsia"/>
          <w:bCs w:val="0"/>
          <w:color w:val="auto"/>
          <w:kern w:val="0"/>
          <w:szCs w:val="28"/>
          <w:highlight w:val="none"/>
        </w:rPr>
        <w:fldChar w:fldCharType="begin"/>
      </w:r>
      <w:r>
        <w:rPr>
          <w:rFonts w:hint="default" w:ascii="Times New Roman" w:hAnsi="Times New Roman" w:cs="Times New Roman" w:eastAsiaTheme="minorEastAsia"/>
          <w:bCs w:val="0"/>
          <w:kern w:val="0"/>
          <w:szCs w:val="28"/>
          <w:highlight w:val="none"/>
        </w:rPr>
        <w:instrText xml:space="preserve"> HYPERLINK \l _Toc1188 </w:instrText>
      </w:r>
      <w:r>
        <w:rPr>
          <w:rFonts w:hint="default" w:ascii="Times New Roman" w:hAnsi="Times New Roman" w:cs="Times New Roman" w:eastAsiaTheme="minorEastAsia"/>
          <w:bCs w:val="0"/>
          <w:kern w:val="0"/>
          <w:szCs w:val="28"/>
          <w:highlight w:val="none"/>
        </w:rPr>
        <w:fldChar w:fldCharType="separate"/>
      </w:r>
      <w:r>
        <w:rPr>
          <w:rFonts w:ascii="Times New Roman" w:hAnsi="Times New Roman" w:cs="Times New Roman"/>
          <w:strike w:val="0"/>
          <w:dstrike w:val="0"/>
          <w:highlight w:val="none"/>
        </w:rPr>
        <w:t>10</w:t>
      </w:r>
      <w:r>
        <w:rPr>
          <w:rFonts w:hint="default" w:ascii="Times New Roman" w:hAnsi="Times New Roman" w:cs="Times New Roman"/>
          <w:strike w:val="0"/>
          <w:dstrike w:val="0"/>
          <w:highlight w:val="none"/>
          <w:lang w:val="en-US" w:eastAsia="zh-CN"/>
        </w:rPr>
        <w:t xml:space="preserve"> </w:t>
      </w:r>
      <w:r>
        <w:rPr>
          <w:rFonts w:ascii="Times New Roman" w:hAnsi="Times New Roman" w:cs="Times New Roman"/>
          <w:strike w:val="0"/>
          <w:dstrike w:val="0"/>
          <w:highlight w:val="none"/>
        </w:rPr>
        <w:t>三江侗族自治县</w:t>
      </w:r>
      <w:r>
        <w:tab/>
      </w:r>
      <w:r>
        <w:fldChar w:fldCharType="begin"/>
      </w:r>
      <w:r>
        <w:instrText xml:space="preserve"> PAGEREF _Toc1188 \h </w:instrText>
      </w:r>
      <w:r>
        <w:fldChar w:fldCharType="separate"/>
      </w:r>
      <w:r>
        <w:t>71</w:t>
      </w:r>
      <w:r>
        <w:fldChar w:fldCharType="end"/>
      </w:r>
      <w:r>
        <w:rPr>
          <w:rFonts w:hint="default" w:ascii="Times New Roman" w:hAnsi="Times New Roman" w:cs="Times New Roman" w:eastAsiaTheme="minorEastAsia"/>
          <w:bCs w:val="0"/>
          <w:color w:val="auto"/>
          <w:kern w:val="0"/>
          <w:szCs w:val="28"/>
          <w:highlight w:val="none"/>
        </w:rPr>
        <w:fldChar w:fldCharType="end"/>
      </w:r>
    </w:p>
    <w:p>
      <w:pPr>
        <w:pStyle w:val="12"/>
        <w:tabs>
          <w:tab w:val="right" w:pos="2400"/>
          <w:tab w:val="right" w:leader="dot" w:pos="13183"/>
        </w:tabs>
        <w:adjustRightInd w:val="0"/>
        <w:snapToGrid w:val="0"/>
        <w:spacing w:line="360" w:lineRule="auto"/>
        <w:jc w:val="center"/>
        <w:rPr>
          <w:rFonts w:hint="default" w:ascii="Times New Roman" w:hAnsi="Times New Roman" w:cs="Times New Roman" w:eastAsiaTheme="minorEastAsia"/>
          <w:bCs w:val="0"/>
          <w:color w:val="auto"/>
          <w:kern w:val="0"/>
          <w:szCs w:val="28"/>
          <w:highlight w:val="none"/>
        </w:rPr>
      </w:pPr>
      <w:r>
        <w:rPr>
          <w:rFonts w:hint="default" w:ascii="Times New Roman" w:hAnsi="Times New Roman" w:cs="Times New Roman" w:eastAsiaTheme="minorEastAsia"/>
          <w:bCs w:val="0"/>
          <w:color w:val="auto"/>
          <w:kern w:val="0"/>
          <w:szCs w:val="28"/>
          <w:highlight w:val="none"/>
        </w:rPr>
        <w:fldChar w:fldCharType="end"/>
      </w:r>
    </w:p>
    <w:p>
      <w:pPr>
        <w:rPr>
          <w:rFonts w:hint="default"/>
        </w:rPr>
        <w:sectPr>
          <w:type w:val="continuous"/>
          <w:pgSz w:w="16838" w:h="11905" w:orient="landscape"/>
          <w:pgMar w:top="1797" w:right="1440" w:bottom="1797" w:left="1440" w:header="851" w:footer="992" w:gutter="0"/>
          <w:pgNumType w:fmt="upperRoman" w:start="1"/>
          <w:cols w:space="0" w:num="1"/>
          <w:rtlGutter w:val="0"/>
          <w:docGrid w:type="lines" w:linePitch="312" w:charSpace="0"/>
        </w:sectPr>
      </w:pPr>
    </w:p>
    <w:p>
      <w:pPr>
        <w:widowControl/>
        <w:tabs>
          <w:tab w:val="left" w:pos="440"/>
          <w:tab w:val="right" w:leader="dot" w:pos="10244"/>
        </w:tabs>
        <w:spacing w:after="100" w:line="276" w:lineRule="auto"/>
        <w:jc w:val="center"/>
        <w:rPr>
          <w:rFonts w:hint="default" w:ascii="Times New Roman" w:hAnsi="Times New Roman" w:cs="Times New Roman"/>
          <w:color w:val="auto"/>
          <w:highlight w:val="none"/>
          <w:lang w:eastAsia="zh-CN"/>
        </w:rPr>
      </w:pPr>
      <w:r>
        <w:rPr>
          <w:rFonts w:hint="default" w:ascii="Times New Roman" w:hAnsi="Times New Roman" w:eastAsia="宋体" w:cs="Times New Roman"/>
          <w:b/>
          <w:bCs/>
          <w:color w:val="auto"/>
          <w:kern w:val="0"/>
          <w:sz w:val="44"/>
          <w:szCs w:val="48"/>
          <w:highlight w:val="none"/>
          <w:lang w:val="en-US" w:eastAsia="zh-CN" w:bidi="ar-SA"/>
        </w:rPr>
        <w:t>术语和定义</w:t>
      </w:r>
    </w:p>
    <w:p>
      <w:pPr>
        <w:pStyle w:val="2"/>
        <w:jc w:val="both"/>
        <w:rPr>
          <w:rFonts w:hint="default" w:ascii="Times New Roman" w:hAnsi="Times New Roman" w:eastAsia="方正小标宋_GBK"/>
          <w:color w:val="auto"/>
          <w:highlight w:val="none"/>
          <w:lang w:eastAsia="zh-CN"/>
        </w:rPr>
      </w:pPr>
      <w:r>
        <w:rPr>
          <w:rFonts w:hint="default" w:ascii="Times New Roman" w:hAnsi="Times New Roman"/>
          <w:color w:val="auto"/>
          <w:highlight w:val="none"/>
          <w:lang w:eastAsia="zh-CN"/>
        </w:rPr>
        <w:t>一、环境管控单元</w:t>
      </w:r>
    </w:p>
    <w:p>
      <w:pPr>
        <w:numPr>
          <w:ilvl w:val="0"/>
          <w:numId w:val="1"/>
        </w:numPr>
        <w:rPr>
          <w:rFonts w:hint="default" w:ascii="Times New Roman" w:hAnsi="Times New Roman" w:cs="Times New Roman"/>
          <w:color w:val="auto"/>
          <w:highlight w:val="none"/>
          <w:lang w:eastAsia="zh-CN"/>
        </w:rPr>
      </w:pPr>
      <w:r>
        <w:rPr>
          <w:rFonts w:hint="default" w:ascii="Times New Roman" w:hAnsi="Times New Roman" w:cs="Times New Roman"/>
          <w:b/>
          <w:bCs/>
          <w:color w:val="auto"/>
          <w:highlight w:val="none"/>
          <w:lang w:eastAsia="zh-CN"/>
        </w:rPr>
        <w:t>优先保护单元：</w:t>
      </w:r>
      <w:r>
        <w:rPr>
          <w:rFonts w:hint="default" w:ascii="Times New Roman" w:hAnsi="Times New Roman" w:cs="Times New Roman"/>
          <w:color w:val="auto"/>
          <w:highlight w:val="none"/>
          <w:lang w:eastAsia="zh-CN"/>
        </w:rPr>
        <w:t>陆域优先保护单元主要包括生态保护红线、自然保护地、县级以上饮用水水源保护区、环境空气一类功能区等生态功能区域</w:t>
      </w:r>
      <w:r>
        <w:rPr>
          <w:rFonts w:hint="eastAsia" w:ascii="Times New Roman" w:hAnsi="Times New Roman" w:cs="Times New Roman"/>
          <w:color w:val="auto"/>
          <w:highlight w:val="none"/>
          <w:lang w:eastAsia="zh-CN"/>
        </w:rPr>
        <w:t>。</w:t>
      </w:r>
      <w:commentRangeStart w:id="0"/>
      <w:r>
        <w:rPr>
          <w:rFonts w:hint="default" w:ascii="Times New Roman" w:hAnsi="Times New Roman" w:cs="Times New Roman"/>
          <w:color w:val="auto"/>
          <w:highlight w:val="none"/>
          <w:lang w:eastAsia="zh-CN"/>
        </w:rPr>
        <w:t>近岸海域优先保护单元主要包括海洋生态红线的海域。</w:t>
      </w:r>
      <w:commentRangeEnd w:id="0"/>
      <w:r>
        <w:rPr>
          <w:highlight w:val="none"/>
        </w:rPr>
        <w:commentReference w:id="0"/>
      </w:r>
    </w:p>
    <w:p>
      <w:pPr>
        <w:numPr>
          <w:ilvl w:val="0"/>
          <w:numId w:val="0"/>
        </w:numPr>
        <w:rPr>
          <w:rFonts w:hint="default" w:ascii="Times New Roman" w:hAnsi="Times New Roman" w:cs="Times New Roman"/>
          <w:color w:val="auto"/>
          <w:highlight w:val="none"/>
          <w:lang w:eastAsia="zh-CN"/>
        </w:rPr>
      </w:pPr>
    </w:p>
    <w:p>
      <w:pPr>
        <w:numPr>
          <w:ilvl w:val="0"/>
          <w:numId w:val="1"/>
        </w:numPr>
        <w:rPr>
          <w:rFonts w:hint="default" w:ascii="Times New Roman" w:hAnsi="Times New Roman" w:cs="Times New Roman"/>
          <w:color w:val="auto"/>
          <w:sz w:val="21"/>
          <w:szCs w:val="21"/>
          <w:highlight w:val="none"/>
          <w:lang w:eastAsia="zh-CN"/>
        </w:rPr>
      </w:pPr>
      <w:r>
        <w:rPr>
          <w:rFonts w:hint="default" w:ascii="Times New Roman" w:hAnsi="Times New Roman" w:cs="Times New Roman"/>
          <w:b/>
          <w:bCs/>
          <w:color w:val="auto"/>
          <w:highlight w:val="none"/>
          <w:lang w:eastAsia="zh-CN"/>
        </w:rPr>
        <w:t>重点管控单元：</w:t>
      </w:r>
      <w:r>
        <w:rPr>
          <w:rFonts w:hint="default" w:ascii="Times New Roman" w:hAnsi="Times New Roman" w:cs="Times New Roman"/>
          <w:color w:val="auto"/>
          <w:highlight w:val="none"/>
          <w:lang w:eastAsia="zh-CN"/>
        </w:rPr>
        <w:t>陆域重点管控单元主要包括工业园区、县级以上城镇中心城区及规划区、矿产开采区、港区等开发强度高、污染物排放强度大的区域，以及环境问题相对集中的区域；近岸海域重点管控单元主要包括港口码头、倾废、排污混合、工业与城镇</w:t>
      </w:r>
      <w:r>
        <w:rPr>
          <w:rFonts w:hint="default" w:ascii="Times New Roman" w:hAnsi="Times New Roman" w:cs="Times New Roman"/>
          <w:color w:val="auto"/>
          <w:sz w:val="21"/>
          <w:szCs w:val="21"/>
          <w:highlight w:val="none"/>
          <w:lang w:eastAsia="zh-CN"/>
        </w:rPr>
        <w:t>用海、矿产与能源开发利用、特殊利用以及现状水质超标的海域。</w:t>
      </w:r>
    </w:p>
    <w:p>
      <w:pPr>
        <w:rPr>
          <w:rFonts w:hint="default" w:ascii="Times New Roman" w:hAnsi="Times New Roman" w:cs="Times New Roman"/>
          <w:color w:val="auto"/>
          <w:sz w:val="21"/>
          <w:szCs w:val="21"/>
          <w:highlight w:val="none"/>
          <w:lang w:eastAsia="zh-CN"/>
        </w:rPr>
      </w:pPr>
    </w:p>
    <w:p>
      <w:pPr>
        <w:numPr>
          <w:ilvl w:val="0"/>
          <w:numId w:val="1"/>
        </w:numPr>
        <w:rPr>
          <w:rFonts w:hint="default" w:ascii="Times New Roman" w:hAnsi="Times New Roman" w:cs="Times New Roman"/>
          <w:color w:val="auto"/>
          <w:highlight w:val="none"/>
          <w:lang w:eastAsia="zh-CN"/>
        </w:rPr>
      </w:pPr>
      <w:r>
        <w:rPr>
          <w:rFonts w:hint="default" w:ascii="Times New Roman" w:hAnsi="Times New Roman" w:cs="Times New Roman"/>
          <w:b/>
          <w:bCs/>
          <w:color w:val="auto"/>
          <w:sz w:val="21"/>
          <w:szCs w:val="21"/>
          <w:highlight w:val="none"/>
          <w:lang w:eastAsia="zh-CN"/>
        </w:rPr>
        <w:t>一般管控单元：</w:t>
      </w:r>
      <w:r>
        <w:rPr>
          <w:rFonts w:hint="default" w:ascii="Times New Roman" w:hAnsi="Times New Roman" w:cs="Times New Roman"/>
          <w:color w:val="auto"/>
          <w:sz w:val="21"/>
          <w:szCs w:val="21"/>
          <w:highlight w:val="none"/>
          <w:lang w:eastAsia="zh-CN"/>
        </w:rPr>
        <w:t>一般管控单元为优先保护单元、重点管控单元以外的区域。</w:t>
      </w:r>
    </w:p>
    <w:p>
      <w:pPr>
        <w:pStyle w:val="2"/>
        <w:keepNext w:val="0"/>
        <w:keepLines w:val="0"/>
        <w:pageBreakBefore w:val="0"/>
        <w:widowControl w:val="0"/>
        <w:kinsoku/>
        <w:wordWrap/>
        <w:overflowPunct/>
        <w:topLinePunct w:val="0"/>
        <w:autoSpaceDE w:val="0"/>
        <w:autoSpaceDN w:val="0"/>
        <w:bidi w:val="0"/>
        <w:adjustRightInd w:val="0"/>
        <w:snapToGrid/>
        <w:spacing w:before="157" w:beforeLines="50"/>
        <w:jc w:val="both"/>
        <w:textAlignment w:val="auto"/>
        <w:outlineLvl w:val="9"/>
        <w:rPr>
          <w:rFonts w:hint="default" w:ascii="Times New Roman" w:hAnsi="Times New Roman" w:cs="Times New Roman"/>
          <w:color w:val="auto"/>
          <w:szCs w:val="22"/>
          <w:highlight w:val="none"/>
          <w:lang w:eastAsia="zh-CN"/>
        </w:rPr>
      </w:pPr>
      <w:r>
        <w:rPr>
          <w:rFonts w:hint="default" w:ascii="Times New Roman" w:hAnsi="Times New Roman" w:cs="Times New Roman"/>
          <w:color w:val="auto"/>
          <w:szCs w:val="22"/>
          <w:highlight w:val="none"/>
          <w:lang w:eastAsia="zh-CN"/>
        </w:rPr>
        <w:t>二、生态保护红线及陆域生态分区</w:t>
      </w:r>
    </w:p>
    <w:p>
      <w:pPr>
        <w:numPr>
          <w:ilvl w:val="0"/>
          <w:numId w:val="2"/>
        </w:numPr>
        <w:rPr>
          <w:rFonts w:hint="default" w:ascii="Times New Roman" w:hAnsi="Times New Roman" w:cs="Times New Roman"/>
          <w:color w:val="auto"/>
          <w:sz w:val="21"/>
          <w:szCs w:val="21"/>
          <w:highlight w:val="none"/>
          <w:lang w:eastAsia="zh-CN"/>
        </w:rPr>
      </w:pPr>
      <w:r>
        <w:rPr>
          <w:rFonts w:hint="default" w:ascii="Times New Roman" w:hAnsi="Times New Roman" w:cs="Times New Roman"/>
          <w:b/>
          <w:bCs/>
          <w:color w:val="auto"/>
          <w:sz w:val="21"/>
          <w:szCs w:val="21"/>
          <w:highlight w:val="none"/>
          <w:lang w:eastAsia="zh-CN"/>
        </w:rPr>
        <w:t>生态保护红线：</w:t>
      </w:r>
      <w:r>
        <w:rPr>
          <w:rFonts w:hint="default" w:ascii="Times New Roman" w:hAnsi="Times New Roman" w:cs="Times New Roman"/>
          <w:color w:val="auto"/>
          <w:sz w:val="21"/>
          <w:szCs w:val="21"/>
          <w:highlight w:val="none"/>
          <w:lang w:eastAsia="zh-CN"/>
        </w:rPr>
        <w:t>指在生态空间范围内具有特殊重要生态功能、必须强制性严格保护的区域，是保障和维护国家生态安全的底线和生命线，通常包括具有重要水源涵养、生物多样性维护、水土保持、防风固沙、海岸生态稳定等功能的生态功能重要区域，以及水土流失、土地沙化、石漠化、盐渍化等生态环境敏感脆弱区域。按照“生态功能不降低、面积不减少、性质不改变”的基本要求，实施严格管控。</w:t>
      </w:r>
    </w:p>
    <w:p>
      <w:pPr>
        <w:rPr>
          <w:rFonts w:hint="default" w:ascii="Times New Roman" w:hAnsi="Times New Roman" w:cs="Times New Roman"/>
          <w:color w:val="auto"/>
          <w:highlight w:val="none"/>
          <w:lang w:eastAsia="zh-CN"/>
        </w:rPr>
      </w:pPr>
    </w:p>
    <w:p>
      <w:pPr>
        <w:numPr>
          <w:ilvl w:val="0"/>
          <w:numId w:val="2"/>
        </w:numPr>
        <w:rPr>
          <w:rFonts w:hint="default" w:ascii="Times New Roman" w:hAnsi="Times New Roman" w:cs="Times New Roman"/>
          <w:color w:val="auto"/>
          <w:sz w:val="21"/>
          <w:szCs w:val="21"/>
          <w:highlight w:val="none"/>
        </w:rPr>
      </w:pPr>
      <w:r>
        <w:rPr>
          <w:rFonts w:hint="default" w:ascii="Times New Roman" w:hAnsi="Times New Roman" w:cs="Times New Roman"/>
          <w:b/>
          <w:bCs/>
          <w:color w:val="auto"/>
          <w:sz w:val="21"/>
          <w:szCs w:val="21"/>
          <w:highlight w:val="none"/>
          <w:lang w:eastAsia="zh-CN"/>
        </w:rPr>
        <w:t>一般生态空间：</w:t>
      </w:r>
      <w:r>
        <w:rPr>
          <w:rFonts w:hint="default" w:ascii="Times New Roman" w:hAnsi="Times New Roman" w:cs="Times New Roman"/>
          <w:color w:val="auto"/>
          <w:sz w:val="21"/>
          <w:szCs w:val="21"/>
          <w:highlight w:val="none"/>
        </w:rPr>
        <w:t>指生态保护红线之外具有重要生态功能或生态环境相对敏感区域，是维系生态安全格局的重要组成部分。该区域以生态保护和提供生态产品为主要功能，原则上按照限制发展区进行管理，严格控制开发强度，强化生态功能保育。</w:t>
      </w:r>
    </w:p>
    <w:p>
      <w:pPr>
        <w:rPr>
          <w:rFonts w:hint="default" w:ascii="Times New Roman" w:hAnsi="Times New Roman" w:cs="Times New Roman"/>
          <w:color w:val="auto"/>
          <w:highlight w:val="none"/>
        </w:rPr>
      </w:pPr>
    </w:p>
    <w:p>
      <w:pPr>
        <w:numPr>
          <w:ilvl w:val="0"/>
          <w:numId w:val="2"/>
        </w:numPr>
        <w:rPr>
          <w:rFonts w:hint="default" w:ascii="Times New Roman" w:hAnsi="Times New Roman" w:cs="Times New Roman"/>
          <w:color w:val="auto"/>
          <w:sz w:val="21"/>
          <w:szCs w:val="21"/>
          <w:highlight w:val="none"/>
        </w:rPr>
      </w:pPr>
      <w:r>
        <w:rPr>
          <w:rFonts w:hint="default" w:ascii="Times New Roman" w:hAnsi="Times New Roman" w:cs="Times New Roman"/>
          <w:b/>
          <w:bCs/>
          <w:color w:val="auto"/>
          <w:sz w:val="21"/>
          <w:szCs w:val="21"/>
          <w:highlight w:val="none"/>
          <w:lang w:eastAsia="zh-CN"/>
        </w:rPr>
        <w:t>自然保护地：</w:t>
      </w:r>
      <w:r>
        <w:rPr>
          <w:rFonts w:hint="default" w:ascii="Times New Roman" w:hAnsi="Times New Roman" w:cs="Times New Roman"/>
          <w:color w:val="auto"/>
          <w:sz w:val="21"/>
          <w:szCs w:val="21"/>
          <w:highlight w:val="none"/>
        </w:rPr>
        <w:t>指由各级政府依法划定或确认，对重要的自然生态系统、自然遗迹、自然景观及其所承载的自然资源、生态功能和文化价值实施长期保护的陆域或海域。自然保护地包括国家公园、自然保护区及自然公园3种类型。</w:t>
      </w:r>
    </w:p>
    <w:p>
      <w:pPr>
        <w:rPr>
          <w:rFonts w:hint="default" w:ascii="Times New Roman" w:hAnsi="Times New Roman" w:cs="Times New Roman"/>
          <w:color w:val="auto"/>
          <w:highlight w:val="none"/>
        </w:rPr>
      </w:pPr>
    </w:p>
    <w:p>
      <w:pPr>
        <w:numPr>
          <w:ilvl w:val="0"/>
          <w:numId w:val="2"/>
        </w:numPr>
        <w:rPr>
          <w:rFonts w:hint="default" w:ascii="Times New Roman" w:hAnsi="Times New Roman" w:cs="Times New Roman"/>
          <w:color w:val="auto"/>
          <w:sz w:val="21"/>
          <w:szCs w:val="21"/>
          <w:highlight w:val="none"/>
          <w:lang w:eastAsia="zh-CN"/>
        </w:rPr>
      </w:pPr>
      <w:r>
        <w:rPr>
          <w:rFonts w:hint="default" w:ascii="Times New Roman" w:hAnsi="Times New Roman" w:cs="Times New Roman"/>
          <w:b/>
          <w:bCs/>
          <w:color w:val="auto"/>
          <w:sz w:val="21"/>
          <w:szCs w:val="21"/>
          <w:highlight w:val="none"/>
          <w:lang w:eastAsia="zh-CN"/>
        </w:rPr>
        <w:t>水源涵养功能（极）重要区：</w:t>
      </w:r>
      <w:r>
        <w:rPr>
          <w:rFonts w:hint="default" w:ascii="Times New Roman" w:hAnsi="Times New Roman" w:cs="Times New Roman"/>
          <w:color w:val="auto"/>
          <w:sz w:val="21"/>
          <w:szCs w:val="21"/>
          <w:highlight w:val="none"/>
        </w:rPr>
        <w:t>指河流与湖泊的主要水源补给区和源头区，具备拦截滞蓄降水、增强土壤下渗、涵养土壤水分和补充地下水、调节河川流量、增加可利用水资源量的功能。具体区域为生态功能重要性评价和生态环境敏感性评价结果中水源涵养功能重要、极重要区域。</w:t>
      </w:r>
    </w:p>
    <w:p>
      <w:pPr>
        <w:rPr>
          <w:rFonts w:hint="default" w:ascii="Times New Roman" w:hAnsi="Times New Roman" w:cs="Times New Roman"/>
          <w:color w:val="auto"/>
          <w:sz w:val="21"/>
          <w:szCs w:val="21"/>
          <w:highlight w:val="none"/>
          <w:lang w:eastAsia="zh-CN"/>
        </w:rPr>
      </w:pPr>
    </w:p>
    <w:p>
      <w:pPr>
        <w:numPr>
          <w:ilvl w:val="0"/>
          <w:numId w:val="2"/>
        </w:numPr>
        <w:rPr>
          <w:rFonts w:hint="default" w:ascii="Times New Roman" w:hAnsi="Times New Roman" w:cs="Times New Roman"/>
          <w:color w:val="auto"/>
          <w:sz w:val="21"/>
          <w:szCs w:val="21"/>
          <w:highlight w:val="none"/>
          <w:lang w:eastAsia="zh-CN"/>
        </w:rPr>
      </w:pPr>
      <w:r>
        <w:rPr>
          <w:rFonts w:hint="default" w:ascii="Times New Roman" w:hAnsi="Times New Roman" w:cs="Times New Roman"/>
          <w:b/>
          <w:bCs/>
          <w:color w:val="auto"/>
          <w:sz w:val="21"/>
          <w:szCs w:val="21"/>
          <w:highlight w:val="none"/>
          <w:lang w:eastAsia="zh-CN"/>
        </w:rPr>
        <w:t>生物多样性维护功能（极）重要区：</w:t>
      </w:r>
      <w:r>
        <w:rPr>
          <w:rFonts w:hint="default" w:ascii="Times New Roman" w:hAnsi="Times New Roman" w:cs="Times New Roman"/>
          <w:color w:val="auto"/>
          <w:sz w:val="21"/>
          <w:szCs w:val="21"/>
          <w:highlight w:val="none"/>
        </w:rPr>
        <w:t>指重要保护动植物的集中分布区，以及典型生态系统分布区，具有维持基因、物种、生态系统多样性发挥的作用。具体区域为生态功能重要性评价和生态环境敏感性评价结果中生物多样性维护功能重要、极重要区域。</w:t>
      </w:r>
    </w:p>
    <w:p>
      <w:pPr>
        <w:rPr>
          <w:rFonts w:hint="default" w:ascii="Times New Roman" w:hAnsi="Times New Roman" w:cs="Times New Roman"/>
          <w:color w:val="auto"/>
          <w:sz w:val="21"/>
          <w:szCs w:val="21"/>
          <w:highlight w:val="none"/>
          <w:lang w:eastAsia="zh-CN"/>
        </w:rPr>
      </w:pPr>
    </w:p>
    <w:p>
      <w:pPr>
        <w:numPr>
          <w:ilvl w:val="0"/>
          <w:numId w:val="2"/>
        </w:numPr>
        <w:rPr>
          <w:rFonts w:hint="default" w:ascii="Times New Roman" w:hAnsi="Times New Roman" w:cs="Times New Roman"/>
          <w:color w:val="auto"/>
          <w:sz w:val="21"/>
          <w:szCs w:val="21"/>
          <w:highlight w:val="none"/>
          <w:lang w:eastAsia="zh-CN"/>
        </w:rPr>
      </w:pPr>
      <w:r>
        <w:rPr>
          <w:rFonts w:hint="default" w:ascii="Times New Roman" w:hAnsi="Times New Roman" w:cs="Times New Roman"/>
          <w:b/>
          <w:bCs/>
          <w:color w:val="auto"/>
          <w:sz w:val="21"/>
          <w:szCs w:val="21"/>
          <w:highlight w:val="none"/>
          <w:lang w:eastAsia="zh-CN"/>
        </w:rPr>
        <w:t>（极）重度石漠化区：</w:t>
      </w:r>
      <w:r>
        <w:rPr>
          <w:rFonts w:hint="default" w:ascii="Times New Roman" w:hAnsi="Times New Roman" w:cs="Times New Roman"/>
          <w:color w:val="auto"/>
          <w:sz w:val="21"/>
          <w:szCs w:val="21"/>
          <w:highlight w:val="none"/>
        </w:rPr>
        <w:t>指因水土流失而导致出现地表土壤损失、基岩裸露、土地丧失农业利用价值、生态环境退化现象的区域。具体区域为自治区林业局石漠化调查结果中重度、极重度石漠化区域。</w:t>
      </w:r>
    </w:p>
    <w:p>
      <w:pPr>
        <w:rPr>
          <w:rFonts w:hint="default" w:ascii="Times New Roman" w:hAnsi="Times New Roman" w:cs="Times New Roman"/>
          <w:color w:val="auto"/>
          <w:highlight w:val="none"/>
          <w:lang w:eastAsia="zh-CN"/>
        </w:rPr>
      </w:pPr>
    </w:p>
    <w:p>
      <w:pPr>
        <w:numPr>
          <w:ilvl w:val="0"/>
          <w:numId w:val="2"/>
        </w:numPr>
        <w:rPr>
          <w:rFonts w:hint="default" w:ascii="Times New Roman" w:hAnsi="Times New Roman" w:cs="Times New Roman"/>
          <w:color w:val="auto"/>
          <w:sz w:val="21"/>
          <w:szCs w:val="21"/>
          <w:highlight w:val="none"/>
          <w:lang w:eastAsia="zh-CN"/>
        </w:rPr>
      </w:pPr>
      <w:r>
        <w:rPr>
          <w:rFonts w:hint="default" w:ascii="Times New Roman" w:hAnsi="Times New Roman" w:cs="Times New Roman"/>
          <w:b/>
          <w:bCs/>
          <w:color w:val="auto"/>
          <w:sz w:val="21"/>
          <w:szCs w:val="21"/>
          <w:highlight w:val="none"/>
          <w:lang w:eastAsia="zh-CN"/>
        </w:rPr>
        <w:t>饮用水水源保护区：</w:t>
      </w:r>
      <w:r>
        <w:rPr>
          <w:rFonts w:hint="default" w:ascii="Times New Roman" w:hAnsi="Times New Roman" w:cs="Times New Roman"/>
          <w:color w:val="auto"/>
          <w:sz w:val="21"/>
          <w:szCs w:val="21"/>
          <w:highlight w:val="none"/>
          <w:lang w:eastAsia="zh-CN"/>
        </w:rPr>
        <w:t>指为防止饮用水水源地污染、保证水源水质而划定，并要求加以特殊保护的一定范围的水域和陆域。饮用水水源保护区分为一级保护区和二级保护区，必要时可在保护区外划分准保护区。</w:t>
      </w:r>
    </w:p>
    <w:p>
      <w:pPr>
        <w:numPr>
          <w:ilvl w:val="0"/>
          <w:numId w:val="0"/>
        </w:numPr>
        <w:rPr>
          <w:rFonts w:hint="default" w:ascii="Times New Roman" w:hAnsi="Times New Roman" w:cs="Times New Roman"/>
          <w:color w:val="auto"/>
          <w:sz w:val="21"/>
          <w:szCs w:val="21"/>
          <w:highlight w:val="none"/>
          <w:lang w:eastAsia="zh-CN"/>
        </w:rPr>
      </w:pPr>
    </w:p>
    <w:p>
      <w:pPr>
        <w:numPr>
          <w:ilvl w:val="0"/>
          <w:numId w:val="2"/>
        </w:numPr>
        <w:rPr>
          <w:rFonts w:hint="default" w:ascii="Times New Roman" w:hAnsi="Times New Roman" w:cs="Times New Roman"/>
          <w:color w:val="auto"/>
          <w:sz w:val="21"/>
          <w:szCs w:val="21"/>
          <w:highlight w:val="none"/>
          <w:lang w:eastAsia="zh-CN"/>
        </w:rPr>
      </w:pPr>
      <w:r>
        <w:rPr>
          <w:rFonts w:hint="default" w:ascii="Times New Roman" w:hAnsi="Times New Roman" w:cs="Times New Roman"/>
          <w:b/>
          <w:bCs/>
          <w:color w:val="auto"/>
          <w:sz w:val="21"/>
          <w:szCs w:val="21"/>
          <w:highlight w:val="none"/>
          <w:lang w:eastAsia="zh-CN"/>
        </w:rPr>
        <w:t>公益林：</w:t>
      </w:r>
      <w:r>
        <w:rPr>
          <w:rFonts w:hint="default" w:ascii="Times New Roman" w:hAnsi="Times New Roman" w:cs="Times New Roman"/>
          <w:color w:val="auto"/>
          <w:sz w:val="21"/>
          <w:szCs w:val="21"/>
          <w:highlight w:val="none"/>
          <w:lang w:eastAsia="zh-CN"/>
        </w:rPr>
        <w:t>指为维护和改善生态环境，保持生态平衡，保护生物多样性等满足人类社会的生态、社会需求和可持续发展为主体功能，主要提供公益性、社会性产品或服务的森林、林木、林地。国家根据生态保护的需要，将森林生态区位重要或者生态状况脆弱，以发挥生态效益为主要目的的林地和林地上的森林划定为公益林。未划定为公益林的林地和林地上的森林属于商品林。国家对公益林实施严格保护，县级以上人民政府林业主管部门应当有计划地组织公益林经营者对公益林中生态功能低下的疏林、残次林等低质低效林，采取林分改造、森林抚育等措施，提高公益林的质量和生态保护功能。在符合公益林生态区位保护要求和不影响公益林生态功能的前提下，经科学论证，可以合理利用公益林林地资源和森林景观资源，适度开展林下经济、森林旅游等。利用公益林开展上述活动应当严格遵守国家有关规定。</w:t>
      </w:r>
    </w:p>
    <w:p>
      <w:pPr>
        <w:rPr>
          <w:rFonts w:hint="default" w:ascii="Times New Roman" w:hAnsi="Times New Roman" w:cs="Times New Roman"/>
          <w:color w:val="auto"/>
          <w:sz w:val="21"/>
          <w:szCs w:val="21"/>
          <w:highlight w:val="none"/>
          <w:lang w:eastAsia="zh-CN"/>
        </w:rPr>
      </w:pPr>
    </w:p>
    <w:p>
      <w:pPr>
        <w:numPr>
          <w:ilvl w:val="0"/>
          <w:numId w:val="2"/>
        </w:numPr>
        <w:rPr>
          <w:rFonts w:hint="default" w:ascii="Times New Roman" w:hAnsi="Times New Roman" w:cs="Times New Roman"/>
          <w:color w:val="auto"/>
          <w:sz w:val="21"/>
          <w:szCs w:val="21"/>
          <w:highlight w:val="none"/>
          <w:lang w:eastAsia="zh-CN"/>
        </w:rPr>
      </w:pPr>
      <w:r>
        <w:rPr>
          <w:rFonts w:hint="default" w:ascii="Times New Roman" w:hAnsi="Times New Roman" w:cs="Times New Roman"/>
          <w:b/>
          <w:bCs/>
          <w:color w:val="auto"/>
          <w:sz w:val="21"/>
          <w:szCs w:val="21"/>
          <w:highlight w:val="none"/>
          <w:lang w:eastAsia="zh-CN"/>
        </w:rPr>
        <w:t>天然林：</w:t>
      </w:r>
      <w:r>
        <w:rPr>
          <w:rFonts w:hint="default" w:ascii="Times New Roman" w:hAnsi="Times New Roman" w:cs="Times New Roman"/>
          <w:color w:val="auto"/>
          <w:sz w:val="21"/>
          <w:szCs w:val="21"/>
          <w:highlight w:val="none"/>
          <w:lang w:eastAsia="zh-CN"/>
        </w:rPr>
        <w:t>指天然起源的森林，包括自然形成与人工促进天然更新或者萌生所形成的森林。国家实行天然林全面保护制度，严格限制天然林采伐，加强天然林管护能力建设，保护和修复天然林资源，逐步提高天然林生态功能。</w:t>
      </w:r>
    </w:p>
    <w:p>
      <w:pPr>
        <w:pStyle w:val="2"/>
        <w:keepNext w:val="0"/>
        <w:keepLines w:val="0"/>
        <w:pageBreakBefore w:val="0"/>
        <w:widowControl w:val="0"/>
        <w:kinsoku/>
        <w:wordWrap/>
        <w:overflowPunct/>
        <w:topLinePunct w:val="0"/>
        <w:autoSpaceDE w:val="0"/>
        <w:autoSpaceDN w:val="0"/>
        <w:bidi w:val="0"/>
        <w:adjustRightInd w:val="0"/>
        <w:snapToGrid/>
        <w:spacing w:before="157" w:beforeLines="50"/>
        <w:jc w:val="both"/>
        <w:textAlignment w:val="auto"/>
        <w:outlineLvl w:val="9"/>
        <w:rPr>
          <w:rFonts w:hint="default" w:ascii="Times New Roman" w:hAnsi="Times New Roman" w:cs="Times New Roman"/>
          <w:color w:val="auto"/>
          <w:szCs w:val="22"/>
          <w:highlight w:val="none"/>
          <w:lang w:eastAsia="zh-CN"/>
        </w:rPr>
      </w:pPr>
      <w:r>
        <w:rPr>
          <w:rFonts w:hint="default" w:ascii="Times New Roman" w:hAnsi="Times New Roman" w:cs="Times New Roman"/>
          <w:color w:val="auto"/>
          <w:szCs w:val="22"/>
          <w:highlight w:val="none"/>
          <w:lang w:eastAsia="zh-CN"/>
        </w:rPr>
        <w:t>三、</w:t>
      </w:r>
      <w:r>
        <w:rPr>
          <w:rFonts w:hint="default" w:ascii="Times New Roman" w:hAnsi="Times New Roman" w:cs="Times New Roman"/>
          <w:color w:val="auto"/>
          <w:szCs w:val="22"/>
          <w:highlight w:val="none"/>
          <w:lang w:val="en-US" w:eastAsia="zh-CN"/>
        </w:rPr>
        <w:t>环境质量底线（</w:t>
      </w:r>
      <w:r>
        <w:rPr>
          <w:rFonts w:hint="default" w:ascii="Times New Roman" w:hAnsi="Times New Roman" w:cs="Times New Roman"/>
          <w:color w:val="auto"/>
          <w:szCs w:val="22"/>
          <w:highlight w:val="none"/>
          <w:lang w:eastAsia="zh-CN"/>
        </w:rPr>
        <w:t>水、</w:t>
      </w:r>
      <w:r>
        <w:rPr>
          <w:rFonts w:hint="default" w:ascii="Times New Roman" w:hAnsi="Times New Roman" w:cs="Times New Roman"/>
          <w:color w:val="auto"/>
          <w:szCs w:val="22"/>
          <w:highlight w:val="none"/>
          <w:lang w:val="en-US" w:eastAsia="zh-CN"/>
        </w:rPr>
        <w:t>大气、土壤）</w:t>
      </w:r>
    </w:p>
    <w:p>
      <w:pPr>
        <w:numPr>
          <w:ilvl w:val="0"/>
          <w:numId w:val="3"/>
        </w:numPr>
        <w:rPr>
          <w:rFonts w:hint="default" w:ascii="Times New Roman" w:hAnsi="Times New Roman" w:cs="Times New Roman"/>
          <w:i w:val="0"/>
          <w:iCs w:val="0"/>
          <w:color w:val="auto"/>
          <w:sz w:val="21"/>
          <w:szCs w:val="21"/>
          <w:highlight w:val="none"/>
          <w:u w:val="none"/>
          <w:lang w:val="en-US" w:eastAsia="zh-CN"/>
        </w:rPr>
      </w:pPr>
      <w:r>
        <w:rPr>
          <w:rFonts w:hint="default" w:ascii="Times New Roman" w:hAnsi="Times New Roman" w:cs="Times New Roman"/>
          <w:b/>
          <w:bCs/>
          <w:color w:val="auto"/>
          <w:sz w:val="21"/>
          <w:szCs w:val="21"/>
          <w:highlight w:val="none"/>
          <w:lang w:val="en-US" w:eastAsia="zh-CN"/>
        </w:rPr>
        <w:t>水环境工业污染重点管控区：</w:t>
      </w:r>
      <w:r>
        <w:rPr>
          <w:rFonts w:hint="default" w:ascii="Times New Roman" w:hAnsi="Times New Roman" w:cs="Times New Roman"/>
          <w:i w:val="0"/>
          <w:iCs w:val="0"/>
          <w:color w:val="auto"/>
          <w:sz w:val="21"/>
          <w:szCs w:val="21"/>
          <w:highlight w:val="none"/>
          <w:u w:val="none"/>
          <w:lang w:val="en-US" w:eastAsia="zh-CN"/>
        </w:rPr>
        <w:t>以工业污染源为主的控制单元。</w:t>
      </w:r>
    </w:p>
    <w:p>
      <w:pPr>
        <w:numPr>
          <w:ilvl w:val="0"/>
          <w:numId w:val="0"/>
        </w:numPr>
        <w:rPr>
          <w:rFonts w:hint="default" w:ascii="Times New Roman" w:hAnsi="Times New Roman" w:cs="Times New Roman"/>
          <w:color w:val="auto"/>
          <w:sz w:val="21"/>
          <w:szCs w:val="21"/>
          <w:highlight w:val="none"/>
          <w:lang w:val="en-US" w:eastAsia="zh-CN"/>
        </w:rPr>
      </w:pPr>
    </w:p>
    <w:p>
      <w:pPr>
        <w:numPr>
          <w:ilvl w:val="0"/>
          <w:numId w:val="3"/>
        </w:numPr>
        <w:rPr>
          <w:rFonts w:hint="default" w:ascii="Times New Roman" w:hAnsi="Times New Roman" w:cs="Times New Roman"/>
          <w:i w:val="0"/>
          <w:iCs w:val="0"/>
          <w:color w:val="auto"/>
          <w:sz w:val="21"/>
          <w:szCs w:val="21"/>
          <w:highlight w:val="none"/>
          <w:u w:val="none"/>
          <w:lang w:val="en-US" w:eastAsia="zh-CN"/>
        </w:rPr>
      </w:pPr>
      <w:r>
        <w:rPr>
          <w:rFonts w:hint="default" w:ascii="Times New Roman" w:hAnsi="Times New Roman" w:cs="Times New Roman"/>
          <w:b/>
          <w:bCs/>
          <w:color w:val="auto"/>
          <w:sz w:val="21"/>
          <w:szCs w:val="21"/>
          <w:highlight w:val="none"/>
          <w:lang w:val="en-US" w:eastAsia="zh-CN"/>
        </w:rPr>
        <w:t>水环境农业污染重点管控区：</w:t>
      </w:r>
      <w:r>
        <w:rPr>
          <w:rFonts w:hint="default" w:ascii="Times New Roman" w:hAnsi="Times New Roman" w:cs="Times New Roman"/>
          <w:i w:val="0"/>
          <w:iCs w:val="0"/>
          <w:color w:val="auto"/>
          <w:sz w:val="21"/>
          <w:szCs w:val="21"/>
          <w:highlight w:val="none"/>
          <w:u w:val="none"/>
          <w:lang w:val="en-US" w:eastAsia="zh-CN"/>
        </w:rPr>
        <w:t>以农业污染源为主的超标控制单元。</w:t>
      </w:r>
    </w:p>
    <w:p>
      <w:pPr>
        <w:numPr>
          <w:ilvl w:val="0"/>
          <w:numId w:val="0"/>
        </w:numPr>
        <w:rPr>
          <w:rFonts w:hint="default" w:ascii="Times New Roman" w:hAnsi="Times New Roman" w:cs="Times New Roman"/>
          <w:color w:val="auto"/>
          <w:sz w:val="21"/>
          <w:szCs w:val="21"/>
          <w:highlight w:val="none"/>
          <w:lang w:val="en-US" w:eastAsia="zh-CN"/>
        </w:rPr>
      </w:pPr>
    </w:p>
    <w:p>
      <w:pPr>
        <w:numPr>
          <w:ilvl w:val="0"/>
          <w:numId w:val="3"/>
        </w:numPr>
        <w:rPr>
          <w:rFonts w:hint="default" w:ascii="Times New Roman" w:hAnsi="Times New Roman" w:cs="Times New Roman"/>
          <w:i w:val="0"/>
          <w:iCs w:val="0"/>
          <w:color w:val="auto"/>
          <w:szCs w:val="28"/>
          <w:highlight w:val="none"/>
          <w:u w:val="none"/>
          <w:lang w:val="en-US" w:eastAsia="zh-CN"/>
        </w:rPr>
      </w:pPr>
      <w:r>
        <w:rPr>
          <w:rFonts w:hint="default" w:ascii="Times New Roman" w:hAnsi="Times New Roman" w:cs="Times New Roman"/>
          <w:b/>
          <w:bCs/>
          <w:color w:val="auto"/>
          <w:sz w:val="21"/>
          <w:szCs w:val="21"/>
          <w:highlight w:val="none"/>
          <w:lang w:val="en-US" w:eastAsia="zh-CN"/>
        </w:rPr>
        <w:t>水环境城镇生活污染重点管控区：</w:t>
      </w:r>
      <w:r>
        <w:rPr>
          <w:rFonts w:hint="default" w:ascii="Times New Roman" w:hAnsi="Times New Roman" w:cs="Times New Roman"/>
          <w:i w:val="0"/>
          <w:iCs w:val="0"/>
          <w:color w:val="auto"/>
          <w:sz w:val="21"/>
          <w:szCs w:val="21"/>
          <w:highlight w:val="none"/>
          <w:u w:val="none"/>
          <w:lang w:val="en-US" w:eastAsia="zh-CN"/>
        </w:rPr>
        <w:t>以城镇生活污染源为</w:t>
      </w:r>
      <w:r>
        <w:rPr>
          <w:rFonts w:hint="default" w:ascii="Times New Roman" w:hAnsi="Times New Roman" w:cs="Times New Roman"/>
          <w:i w:val="0"/>
          <w:iCs w:val="0"/>
          <w:color w:val="auto"/>
          <w:szCs w:val="28"/>
          <w:highlight w:val="none"/>
          <w:u w:val="none"/>
          <w:lang w:val="en-US" w:eastAsia="zh-CN"/>
        </w:rPr>
        <w:t>主的超标控制单元及县级以上中心城区或人口集聚区。</w:t>
      </w:r>
    </w:p>
    <w:p>
      <w:pPr>
        <w:numPr>
          <w:ilvl w:val="0"/>
          <w:numId w:val="0"/>
        </w:numPr>
        <w:rPr>
          <w:rFonts w:hint="default" w:ascii="Times New Roman" w:hAnsi="Times New Roman" w:cs="Times New Roman"/>
          <w:color w:val="auto"/>
          <w:highlight w:val="none"/>
          <w:lang w:val="en-US" w:eastAsia="zh-CN"/>
        </w:rPr>
      </w:pPr>
    </w:p>
    <w:p>
      <w:pPr>
        <w:numPr>
          <w:ilvl w:val="0"/>
          <w:numId w:val="3"/>
        </w:numPr>
        <w:rPr>
          <w:rFonts w:hint="default" w:ascii="Times New Roman" w:hAnsi="Times New Roman" w:eastAsia="方正仿宋_GBK" w:cs="Times New Roman"/>
          <w:b/>
          <w:bCs/>
          <w:i w:val="0"/>
          <w:iCs w:val="0"/>
          <w:color w:val="auto"/>
          <w:kern w:val="2"/>
          <w:sz w:val="21"/>
          <w:szCs w:val="21"/>
          <w:highlight w:val="none"/>
          <w:u w:val="none"/>
          <w:lang w:val="en-US" w:eastAsia="zh-CN" w:bidi="ar-SA"/>
        </w:rPr>
      </w:pPr>
      <w:r>
        <w:rPr>
          <w:rFonts w:hint="default" w:ascii="Times New Roman" w:hAnsi="Times New Roman" w:cs="Times New Roman"/>
          <w:b/>
          <w:bCs/>
          <w:color w:val="auto"/>
          <w:sz w:val="21"/>
          <w:szCs w:val="21"/>
          <w:highlight w:val="none"/>
          <w:lang w:val="en-US" w:eastAsia="zh-CN"/>
        </w:rPr>
        <w:t>水产种质资源保护区：</w:t>
      </w:r>
      <w:r>
        <w:rPr>
          <w:rFonts w:hint="default" w:ascii="Times New Roman" w:hAnsi="Times New Roman" w:cs="Times New Roman"/>
          <w:i w:val="0"/>
          <w:iCs w:val="0"/>
          <w:color w:val="auto"/>
          <w:sz w:val="21"/>
          <w:szCs w:val="21"/>
          <w:highlight w:val="none"/>
          <w:u w:val="none"/>
          <w:lang w:val="en-US" w:eastAsia="zh-CN"/>
        </w:rPr>
        <w:t>为</w:t>
      </w:r>
      <w:r>
        <w:rPr>
          <w:rFonts w:hint="default" w:ascii="Times New Roman" w:hAnsi="Times New Roman" w:cs="Times New Roman"/>
          <w:color w:val="auto"/>
          <w:sz w:val="21"/>
          <w:szCs w:val="21"/>
          <w:highlight w:val="none"/>
          <w:lang w:val="en-US" w:eastAsia="zh-CN"/>
        </w:rPr>
        <w:t>保护水产种质资源及其生存环境，在具有较高经济价值和遗传育种价值的水产种质资源的主要生长繁育区域，依法划定并予以特殊保护和管理的水域、滩涂及其毗邻的岛礁、陆域。</w:t>
      </w:r>
    </w:p>
    <w:p>
      <w:pPr>
        <w:numPr>
          <w:ilvl w:val="0"/>
          <w:numId w:val="0"/>
        </w:numPr>
        <w:rPr>
          <w:rFonts w:hint="default" w:ascii="Times New Roman" w:hAnsi="Times New Roman" w:cs="Times New Roman"/>
          <w:color w:val="auto"/>
          <w:sz w:val="21"/>
          <w:szCs w:val="21"/>
          <w:highlight w:val="none"/>
          <w:lang w:val="en-US" w:eastAsia="zh-CN"/>
        </w:rPr>
      </w:pPr>
    </w:p>
    <w:p>
      <w:pPr>
        <w:numPr>
          <w:ilvl w:val="0"/>
          <w:numId w:val="3"/>
        </w:numPr>
        <w:rPr>
          <w:rFonts w:hint="default" w:ascii="Times New Roman" w:hAnsi="Times New Roman" w:cs="Times New Roman"/>
          <w:i w:val="0"/>
          <w:iCs w:val="0"/>
          <w:color w:val="auto"/>
          <w:sz w:val="21"/>
          <w:szCs w:val="21"/>
          <w:highlight w:val="none"/>
          <w:u w:val="none"/>
          <w:lang w:val="en-US" w:eastAsia="zh-CN"/>
        </w:rPr>
      </w:pPr>
      <w:r>
        <w:rPr>
          <w:rFonts w:hint="default" w:ascii="Times New Roman" w:hAnsi="Times New Roman" w:cs="Times New Roman"/>
          <w:b/>
          <w:bCs/>
          <w:color w:val="auto"/>
          <w:sz w:val="21"/>
          <w:szCs w:val="21"/>
          <w:highlight w:val="none"/>
          <w:lang w:val="en-US" w:eastAsia="zh-CN"/>
        </w:rPr>
        <w:t>江河源头区：</w:t>
      </w:r>
      <w:r>
        <w:rPr>
          <w:rFonts w:hint="default" w:ascii="Times New Roman" w:hAnsi="Times New Roman" w:cs="Times New Roman"/>
          <w:i w:val="0"/>
          <w:iCs w:val="0"/>
          <w:color w:val="auto"/>
          <w:sz w:val="21"/>
          <w:szCs w:val="21"/>
          <w:highlight w:val="none"/>
          <w:u w:val="none"/>
          <w:lang w:val="en-US" w:eastAsia="zh-CN"/>
        </w:rPr>
        <w:t>以保护水资源为目的，在重要河流的源头河段划出一定范围水域以涵养和保护水源。</w:t>
      </w:r>
    </w:p>
    <w:p>
      <w:pPr>
        <w:numPr>
          <w:ilvl w:val="0"/>
          <w:numId w:val="0"/>
        </w:numPr>
        <w:rPr>
          <w:rFonts w:hint="default" w:ascii="Times New Roman" w:hAnsi="Times New Roman" w:cs="Times New Roman"/>
          <w:b/>
          <w:bCs/>
          <w:color w:val="auto"/>
          <w:highlight w:val="none"/>
          <w:lang w:val="en-US" w:eastAsia="zh-CN"/>
        </w:rPr>
      </w:pPr>
    </w:p>
    <w:p>
      <w:pPr>
        <w:numPr>
          <w:ilvl w:val="0"/>
          <w:numId w:val="3"/>
        </w:numPr>
        <w:rPr>
          <w:rFonts w:hint="default" w:ascii="Times New Roman" w:hAnsi="Times New Roman" w:cs="Times New Roman"/>
          <w:color w:val="auto"/>
          <w:highlight w:val="none"/>
          <w:lang w:eastAsia="zh-CN"/>
        </w:rPr>
      </w:pPr>
      <w:r>
        <w:rPr>
          <w:rFonts w:hint="default" w:ascii="Times New Roman" w:hAnsi="Times New Roman" w:cs="Times New Roman"/>
          <w:b/>
          <w:bCs/>
          <w:color w:val="auto"/>
          <w:sz w:val="21"/>
          <w:szCs w:val="21"/>
          <w:highlight w:val="none"/>
          <w:lang w:eastAsia="zh-CN"/>
        </w:rPr>
        <w:t>大气环境一类功能区：</w:t>
      </w:r>
      <w:r>
        <w:rPr>
          <w:rFonts w:hint="default" w:ascii="Times New Roman" w:hAnsi="Times New Roman" w:cs="Times New Roman"/>
          <w:color w:val="auto"/>
          <w:sz w:val="21"/>
          <w:szCs w:val="21"/>
          <w:highlight w:val="none"/>
          <w:lang w:eastAsia="zh-CN"/>
        </w:rPr>
        <w:t>各市人民政府根据《环境空气质量功能区划分原则与技术方法》（HJ14-1996）划分的执行环境空气质量一级标准的区域。</w:t>
      </w:r>
    </w:p>
    <w:p>
      <w:pPr>
        <w:numPr>
          <w:ilvl w:val="0"/>
          <w:numId w:val="0"/>
        </w:numPr>
        <w:rPr>
          <w:rFonts w:hint="default" w:ascii="Times New Roman" w:hAnsi="Times New Roman" w:cs="Times New Roman"/>
          <w:color w:val="auto"/>
          <w:highlight w:val="none"/>
          <w:lang w:eastAsia="zh-CN"/>
        </w:rPr>
      </w:pPr>
    </w:p>
    <w:p>
      <w:pPr>
        <w:numPr>
          <w:ilvl w:val="0"/>
          <w:numId w:val="3"/>
        </w:numPr>
        <w:rPr>
          <w:rFonts w:hint="default" w:ascii="Times New Roman" w:hAnsi="Times New Roman" w:cs="Times New Roman"/>
          <w:color w:val="auto"/>
          <w:sz w:val="21"/>
          <w:szCs w:val="21"/>
          <w:highlight w:val="none"/>
          <w:lang w:eastAsia="zh-CN"/>
        </w:rPr>
      </w:pPr>
      <w:r>
        <w:rPr>
          <w:rFonts w:hint="default" w:ascii="Times New Roman" w:hAnsi="Times New Roman" w:cs="Times New Roman"/>
          <w:b/>
          <w:bCs/>
          <w:color w:val="auto"/>
          <w:sz w:val="21"/>
          <w:szCs w:val="21"/>
          <w:highlight w:val="none"/>
          <w:lang w:eastAsia="zh-CN"/>
        </w:rPr>
        <w:t>大气环境受体敏感重点管控区：</w:t>
      </w:r>
      <w:r>
        <w:rPr>
          <w:rFonts w:hint="default" w:ascii="Times New Roman" w:hAnsi="Times New Roman" w:cs="Times New Roman"/>
          <w:color w:val="auto"/>
          <w:sz w:val="21"/>
          <w:szCs w:val="21"/>
          <w:highlight w:val="none"/>
          <w:lang w:eastAsia="zh-CN"/>
        </w:rPr>
        <w:t>广西县级及以上城镇集中居住、医疗、教育中心、城镇开发区、人口密集区。</w:t>
      </w:r>
    </w:p>
    <w:p>
      <w:pPr>
        <w:numPr>
          <w:ilvl w:val="0"/>
          <w:numId w:val="0"/>
        </w:numPr>
        <w:rPr>
          <w:rFonts w:hint="default" w:ascii="Times New Roman" w:hAnsi="Times New Roman" w:cs="Times New Roman"/>
          <w:color w:val="auto"/>
          <w:sz w:val="21"/>
          <w:szCs w:val="21"/>
          <w:highlight w:val="none"/>
          <w:lang w:eastAsia="zh-CN"/>
        </w:rPr>
      </w:pPr>
    </w:p>
    <w:p>
      <w:pPr>
        <w:numPr>
          <w:ilvl w:val="0"/>
          <w:numId w:val="3"/>
        </w:numPr>
        <w:rPr>
          <w:rFonts w:hint="default" w:ascii="Times New Roman" w:hAnsi="Times New Roman" w:cs="Times New Roman"/>
          <w:color w:val="auto"/>
          <w:sz w:val="21"/>
          <w:szCs w:val="21"/>
          <w:highlight w:val="none"/>
          <w:lang w:eastAsia="zh-CN"/>
        </w:rPr>
      </w:pPr>
      <w:r>
        <w:rPr>
          <w:rFonts w:hint="default" w:ascii="Times New Roman" w:hAnsi="Times New Roman" w:cs="Times New Roman"/>
          <w:b/>
          <w:bCs/>
          <w:color w:val="auto"/>
          <w:sz w:val="21"/>
          <w:szCs w:val="21"/>
          <w:highlight w:val="none"/>
          <w:lang w:eastAsia="zh-CN"/>
        </w:rPr>
        <w:t>大气环境高排放重点管控区：</w:t>
      </w:r>
      <w:r>
        <w:rPr>
          <w:rFonts w:hint="default" w:ascii="Times New Roman" w:hAnsi="Times New Roman" w:cs="Times New Roman"/>
          <w:color w:val="auto"/>
          <w:sz w:val="21"/>
          <w:szCs w:val="21"/>
          <w:highlight w:val="none"/>
          <w:lang w:eastAsia="zh-CN"/>
        </w:rPr>
        <w:t>广西县级及以上工业园区，产业集聚区、港口和码头等区域。</w:t>
      </w:r>
      <w:r>
        <w:rPr>
          <w:rFonts w:hint="default" w:ascii="Times New Roman" w:hAnsi="Times New Roman" w:cs="Times New Roman"/>
          <w:color w:val="auto"/>
          <w:sz w:val="21"/>
          <w:szCs w:val="21"/>
          <w:highlight w:val="none"/>
          <w:lang w:eastAsia="zh-CN"/>
        </w:rPr>
        <w:br w:type="textWrapping"/>
      </w:r>
    </w:p>
    <w:p>
      <w:pPr>
        <w:numPr>
          <w:ilvl w:val="0"/>
          <w:numId w:val="3"/>
        </w:numPr>
        <w:rPr>
          <w:rFonts w:hint="default" w:ascii="Times New Roman" w:hAnsi="Times New Roman" w:cs="Times New Roman"/>
          <w:color w:val="auto"/>
          <w:sz w:val="21"/>
          <w:szCs w:val="21"/>
          <w:highlight w:val="none"/>
          <w:lang w:eastAsia="zh-CN"/>
        </w:rPr>
      </w:pPr>
      <w:r>
        <w:rPr>
          <w:rFonts w:hint="default" w:ascii="Times New Roman" w:hAnsi="Times New Roman" w:cs="Times New Roman"/>
          <w:b/>
          <w:bCs/>
          <w:color w:val="auto"/>
          <w:sz w:val="21"/>
          <w:szCs w:val="21"/>
          <w:highlight w:val="none"/>
          <w:lang w:eastAsia="zh-CN"/>
        </w:rPr>
        <w:t>大气环境布局敏感重点管控区：</w:t>
      </w:r>
      <w:r>
        <w:rPr>
          <w:rFonts w:hint="default" w:ascii="Times New Roman" w:hAnsi="Times New Roman" w:cs="Times New Roman"/>
          <w:color w:val="auto"/>
          <w:sz w:val="21"/>
          <w:szCs w:val="21"/>
          <w:highlight w:val="none"/>
          <w:lang w:eastAsia="zh-CN"/>
        </w:rPr>
        <w:t>大气扩散通道、环流通道等，影响周边空气质量的区域。</w:t>
      </w:r>
      <w:r>
        <w:rPr>
          <w:rFonts w:hint="default" w:ascii="Times New Roman" w:hAnsi="Times New Roman" w:cs="Times New Roman"/>
          <w:color w:val="auto"/>
          <w:sz w:val="21"/>
          <w:szCs w:val="21"/>
          <w:highlight w:val="none"/>
          <w:lang w:eastAsia="zh-CN"/>
        </w:rPr>
        <w:br w:type="textWrapping"/>
      </w:r>
    </w:p>
    <w:p>
      <w:pPr>
        <w:numPr>
          <w:ilvl w:val="0"/>
          <w:numId w:val="3"/>
        </w:numPr>
        <w:rPr>
          <w:rFonts w:hint="default" w:ascii="Times New Roman" w:hAnsi="Times New Roman" w:cs="Times New Roman"/>
          <w:color w:val="auto"/>
          <w:highlight w:val="none"/>
          <w:lang w:eastAsia="zh-CN"/>
        </w:rPr>
      </w:pPr>
      <w:r>
        <w:rPr>
          <w:rFonts w:hint="default" w:ascii="Times New Roman" w:hAnsi="Times New Roman" w:cs="Times New Roman"/>
          <w:b/>
          <w:bCs/>
          <w:color w:val="auto"/>
          <w:sz w:val="21"/>
          <w:szCs w:val="21"/>
          <w:highlight w:val="none"/>
          <w:lang w:eastAsia="zh-CN"/>
        </w:rPr>
        <w:t>大气环境弱扩散重点管控区：</w:t>
      </w:r>
      <w:r>
        <w:rPr>
          <w:rFonts w:hint="default" w:ascii="Times New Roman" w:hAnsi="Times New Roman" w:cs="Times New Roman"/>
          <w:color w:val="auto"/>
          <w:sz w:val="21"/>
          <w:szCs w:val="21"/>
          <w:highlight w:val="none"/>
          <w:lang w:eastAsia="zh-CN"/>
        </w:rPr>
        <w:t>气象扩散条件较差，易导致大气污染物聚集，影响本地空气质量的区域。</w:t>
      </w:r>
    </w:p>
    <w:p>
      <w:pPr>
        <w:numPr>
          <w:ilvl w:val="0"/>
          <w:numId w:val="0"/>
        </w:numPr>
        <w:rPr>
          <w:rFonts w:hint="default" w:ascii="Times New Roman" w:hAnsi="Times New Roman" w:cs="Times New Roman"/>
          <w:color w:val="auto"/>
          <w:highlight w:val="none"/>
          <w:lang w:val="en-US" w:eastAsia="zh-CN"/>
        </w:rPr>
      </w:pPr>
    </w:p>
    <w:p>
      <w:pPr>
        <w:numPr>
          <w:ilvl w:val="0"/>
          <w:numId w:val="3"/>
        </w:numPr>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建设</w:t>
      </w:r>
      <w:r>
        <w:rPr>
          <w:rFonts w:hint="default" w:ascii="Times New Roman" w:hAnsi="Times New Roman" w:cs="Times New Roman"/>
          <w:b/>
          <w:bCs/>
          <w:color w:val="auto"/>
          <w:sz w:val="21"/>
          <w:szCs w:val="21"/>
          <w:highlight w:val="none"/>
          <w:lang w:val="en-US" w:eastAsia="zh-CN"/>
        </w:rPr>
        <w:t>用地</w:t>
      </w:r>
      <w:r>
        <w:rPr>
          <w:rFonts w:hint="default" w:ascii="Times New Roman" w:hAnsi="Times New Roman" w:cs="Times New Roman"/>
          <w:b/>
          <w:bCs/>
          <w:color w:val="auto"/>
          <w:highlight w:val="none"/>
          <w:lang w:val="en-US" w:eastAsia="zh-CN"/>
        </w:rPr>
        <w:t>污染风险重点管控区：</w:t>
      </w:r>
      <w:r>
        <w:rPr>
          <w:rFonts w:hint="default" w:ascii="Times New Roman" w:hAnsi="Times New Roman" w:cs="Times New Roman"/>
          <w:i w:val="0"/>
          <w:iCs w:val="0"/>
          <w:color w:val="auto"/>
          <w:szCs w:val="28"/>
          <w:highlight w:val="none"/>
          <w:u w:val="none"/>
          <w:lang w:val="en-US" w:eastAsia="zh-CN"/>
        </w:rPr>
        <w:t>包括污染地块、土壤污染重点监管单位、涉重金属重点行业企业、土壤污染风险管控和修复地块、尾矿库。</w:t>
      </w:r>
    </w:p>
    <w:p>
      <w:pPr>
        <w:rPr>
          <w:rFonts w:hint="default" w:ascii="Times New Roman" w:hAnsi="Times New Roman" w:cs="Times New Roman"/>
          <w:color w:val="auto"/>
          <w:highlight w:val="none"/>
          <w:lang w:val="en-US" w:eastAsia="zh-CN"/>
        </w:rPr>
      </w:pPr>
    </w:p>
    <w:p>
      <w:pPr>
        <w:numPr>
          <w:ilvl w:val="0"/>
          <w:numId w:val="3"/>
        </w:numPr>
        <w:rPr>
          <w:rFonts w:hint="default" w:ascii="Times New Roman" w:hAnsi="Times New Roman" w:cs="Times New Roman"/>
          <w:i w:val="0"/>
          <w:iCs w:val="0"/>
          <w:color w:val="auto"/>
          <w:szCs w:val="28"/>
          <w:highlight w:val="none"/>
          <w:u w:val="none"/>
          <w:lang w:val="en-US" w:eastAsia="zh-CN"/>
        </w:rPr>
      </w:pPr>
      <w:r>
        <w:rPr>
          <w:rFonts w:hint="default" w:ascii="Times New Roman" w:hAnsi="Times New Roman" w:cs="Times New Roman"/>
          <w:b/>
          <w:bCs/>
          <w:color w:val="auto"/>
          <w:highlight w:val="none"/>
          <w:lang w:val="en-US" w:eastAsia="zh-CN"/>
        </w:rPr>
        <w:t>污染地块：</w:t>
      </w:r>
      <w:r>
        <w:rPr>
          <w:rFonts w:hint="default" w:ascii="Times New Roman" w:hAnsi="Times New Roman" w:cs="Times New Roman"/>
          <w:i w:val="0"/>
          <w:iCs w:val="0"/>
          <w:color w:val="auto"/>
          <w:szCs w:val="28"/>
          <w:highlight w:val="none"/>
          <w:u w:val="none"/>
          <w:lang w:val="en-US" w:eastAsia="zh-CN"/>
        </w:rPr>
        <w:t>是指因生产、经营、使用、贮存危险化学品或者其他有毒有害物质，堆放或者处理、处置生活垃圾、危险废物等固体废物或者其他有害废物，以及从事矿山开采等活动，土壤及地下水中污染物含量超过国家相关标准、存在人体健康或者生态环境风险的建设用地。</w:t>
      </w:r>
    </w:p>
    <w:p>
      <w:pPr>
        <w:rPr>
          <w:rFonts w:hint="default" w:ascii="Times New Roman" w:hAnsi="Times New Roman" w:cs="Times New Roman"/>
          <w:b/>
          <w:bCs/>
          <w:color w:val="auto"/>
          <w:highlight w:val="none"/>
          <w:lang w:val="en-US" w:eastAsia="zh-CN"/>
        </w:rPr>
      </w:pPr>
    </w:p>
    <w:p>
      <w:pPr>
        <w:numPr>
          <w:ilvl w:val="0"/>
          <w:numId w:val="3"/>
        </w:numPr>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土壤污染重点监管单位：</w:t>
      </w:r>
      <w:r>
        <w:rPr>
          <w:rFonts w:hint="default" w:ascii="Times New Roman" w:hAnsi="Times New Roman" w:cs="Times New Roman"/>
          <w:i w:val="0"/>
          <w:iCs w:val="0"/>
          <w:color w:val="auto"/>
          <w:szCs w:val="28"/>
          <w:highlight w:val="none"/>
          <w:u w:val="none"/>
          <w:lang w:val="en-US" w:eastAsia="zh-CN"/>
        </w:rPr>
        <w:t>主要包括以下行业企业，①有色金属冶炼、石油加工、化工、焦化、电镀、制革等行业中应当纳入排污许可重点管理的企业；②有色金属矿采选、石油开采行业规模以上企业；③其他根据有关规定纳入土壤环境污染重点监管单位名录的企事业单位。</w:t>
      </w:r>
    </w:p>
    <w:p>
      <w:pPr>
        <w:rPr>
          <w:rFonts w:hint="default" w:ascii="Times New Roman" w:hAnsi="Times New Roman" w:cs="Times New Roman"/>
          <w:b/>
          <w:bCs/>
          <w:color w:val="auto"/>
          <w:highlight w:val="none"/>
          <w:lang w:val="en-US" w:eastAsia="zh-CN"/>
        </w:rPr>
      </w:pPr>
    </w:p>
    <w:p>
      <w:pPr>
        <w:numPr>
          <w:ilvl w:val="0"/>
          <w:numId w:val="3"/>
        </w:numPr>
        <w:rPr>
          <w:rFonts w:hint="default" w:ascii="Times New Roman" w:hAnsi="Times New Roman" w:cs="Times New Roman"/>
          <w:i w:val="0"/>
          <w:iCs w:val="0"/>
          <w:color w:val="auto"/>
          <w:szCs w:val="28"/>
          <w:highlight w:val="none"/>
          <w:u w:val="none"/>
          <w:lang w:val="en-US" w:eastAsia="zh-CN"/>
        </w:rPr>
      </w:pPr>
      <w:r>
        <w:rPr>
          <w:rFonts w:hint="default" w:ascii="Times New Roman" w:hAnsi="Times New Roman" w:cs="Times New Roman"/>
          <w:b/>
          <w:bCs/>
          <w:color w:val="auto"/>
          <w:highlight w:val="none"/>
          <w:lang w:val="en-US" w:eastAsia="zh-CN"/>
        </w:rPr>
        <w:t>涉重金属重点行业企业：</w:t>
      </w:r>
      <w:r>
        <w:rPr>
          <w:rFonts w:hint="default" w:ascii="Times New Roman" w:hAnsi="Times New Roman" w:cs="Times New Roman"/>
          <w:i w:val="0"/>
          <w:iCs w:val="0"/>
          <w:color w:val="auto"/>
          <w:szCs w:val="28"/>
          <w:highlight w:val="none"/>
          <w:u w:val="none"/>
          <w:lang w:val="en-US" w:eastAsia="zh-CN"/>
        </w:rPr>
        <w:t>涉重金属重点行业主要包括：重有色金属矿（含伴生矿）采选业（铜、铅锌、镍钴、锡、锑和汞矿采选业等）、重有色金属（含再生有色金属）冶炼业（铜、铅锌、镍钴、锡、锑和汞冶炼等）、铅蓄电池制造业、皮革及其制品业（皮革鞣制加工等）、电镀行业（包括专业电镀企业和设置电镀生产车间企业）和化学原料及化学制品制造业（电石法聚氯乙烯行业、铬盐行业）等六大行业。重点重金属污染物主要包括：废水、废气中的铅、汞、镉、铬和类金属砷等5种。</w:t>
      </w:r>
    </w:p>
    <w:p>
      <w:pPr>
        <w:rPr>
          <w:rFonts w:hint="default" w:ascii="Times New Roman" w:hAnsi="Times New Roman" w:eastAsia="宋体" w:cs="Times New Roman"/>
          <w:i w:val="0"/>
          <w:caps w:val="0"/>
          <w:color w:val="333333"/>
          <w:spacing w:val="0"/>
          <w:sz w:val="21"/>
          <w:szCs w:val="21"/>
          <w:highlight w:val="none"/>
          <w:shd w:val="clear" w:fill="FFFFFF"/>
        </w:rPr>
      </w:pPr>
    </w:p>
    <w:p>
      <w:pPr>
        <w:numPr>
          <w:ilvl w:val="0"/>
          <w:numId w:val="3"/>
        </w:numPr>
        <w:rPr>
          <w:rFonts w:hint="default" w:ascii="Times New Roman" w:hAnsi="Times New Roman" w:cs="Times New Roman"/>
          <w:i w:val="0"/>
          <w:iCs w:val="0"/>
          <w:color w:val="auto"/>
          <w:szCs w:val="28"/>
          <w:highlight w:val="none"/>
          <w:u w:val="none"/>
          <w:lang w:val="en-US" w:eastAsia="zh-CN"/>
        </w:rPr>
      </w:pPr>
      <w:r>
        <w:rPr>
          <w:rFonts w:hint="default" w:ascii="Times New Roman" w:hAnsi="Times New Roman" w:cs="Times New Roman"/>
          <w:b/>
          <w:bCs/>
          <w:color w:val="auto"/>
          <w:highlight w:val="none"/>
          <w:lang w:val="en-US" w:eastAsia="zh-CN"/>
        </w:rPr>
        <w:t>土壤污染风险管控和修复地块：</w:t>
      </w:r>
      <w:r>
        <w:rPr>
          <w:rFonts w:hint="default" w:ascii="Times New Roman" w:hAnsi="Times New Roman" w:cs="Times New Roman"/>
          <w:i w:val="0"/>
          <w:iCs w:val="0"/>
          <w:color w:val="auto"/>
          <w:szCs w:val="28"/>
          <w:highlight w:val="none"/>
          <w:u w:val="none"/>
          <w:lang w:val="en-US" w:eastAsia="zh-CN"/>
        </w:rPr>
        <w:t>国家实行建设用地土壤污染风险管控和修复名录制度。建设用地土壤污染风险管控和修复名录由省级人民政府生态环境主管部门会同自然资源等主管部门制定，按照规定向社会公开，并根据风险管控、修复情况适时更新。</w:t>
      </w:r>
    </w:p>
    <w:p>
      <w:pPr>
        <w:rPr>
          <w:rFonts w:hint="default" w:ascii="Times New Roman" w:hAnsi="Times New Roman" w:cs="Times New Roman"/>
          <w:b/>
          <w:bCs/>
          <w:color w:val="auto"/>
          <w:highlight w:val="none"/>
          <w:lang w:val="en-US" w:eastAsia="zh-CN"/>
        </w:rPr>
      </w:pPr>
    </w:p>
    <w:p>
      <w:pPr>
        <w:numPr>
          <w:ilvl w:val="0"/>
          <w:numId w:val="3"/>
        </w:numPr>
        <w:rPr>
          <w:rFonts w:hint="default" w:ascii="Times New Roman" w:hAnsi="Times New Roman" w:cs="Times New Roman"/>
          <w:color w:val="auto"/>
          <w:szCs w:val="22"/>
          <w:highlight w:val="none"/>
          <w:lang w:eastAsia="zh-CN"/>
        </w:rPr>
      </w:pPr>
      <w:r>
        <w:rPr>
          <w:rFonts w:hint="default" w:ascii="Times New Roman" w:hAnsi="Times New Roman" w:cs="Times New Roman"/>
          <w:b/>
          <w:bCs/>
          <w:color w:val="auto"/>
          <w:highlight w:val="none"/>
          <w:lang w:val="en-US" w:eastAsia="zh-CN"/>
        </w:rPr>
        <w:t>尾矿库：</w:t>
      </w:r>
      <w:r>
        <w:rPr>
          <w:rFonts w:hint="default" w:ascii="Times New Roman" w:hAnsi="Times New Roman" w:cs="Times New Roman"/>
          <w:i w:val="0"/>
          <w:iCs w:val="0"/>
          <w:color w:val="auto"/>
          <w:szCs w:val="28"/>
          <w:highlight w:val="none"/>
          <w:u w:val="none"/>
          <w:lang w:val="en-US" w:eastAsia="zh-CN"/>
        </w:rPr>
        <w:t>指贮存金属、非金属矿山矿石选别后排出尾矿的场所。本清单所称的尾矿库是指纳入主管部门（应急管理部门）尾矿库清单的尾矿库。</w:t>
      </w:r>
    </w:p>
    <w:p>
      <w:pPr>
        <w:pStyle w:val="2"/>
        <w:keepNext w:val="0"/>
        <w:keepLines w:val="0"/>
        <w:pageBreakBefore w:val="0"/>
        <w:widowControl w:val="0"/>
        <w:kinsoku/>
        <w:wordWrap/>
        <w:overflowPunct/>
        <w:topLinePunct w:val="0"/>
        <w:autoSpaceDE w:val="0"/>
        <w:autoSpaceDN w:val="0"/>
        <w:bidi w:val="0"/>
        <w:adjustRightInd w:val="0"/>
        <w:snapToGrid/>
        <w:spacing w:before="157" w:beforeLines="50"/>
        <w:jc w:val="both"/>
        <w:textAlignment w:val="auto"/>
        <w:outlineLvl w:val="9"/>
        <w:rPr>
          <w:rFonts w:hint="default" w:ascii="Times New Roman" w:hAnsi="Times New Roman"/>
          <w:color w:val="auto"/>
          <w:highlight w:val="none"/>
        </w:rPr>
      </w:pPr>
      <w:r>
        <w:rPr>
          <w:rFonts w:hint="default" w:ascii="Times New Roman" w:hAnsi="Times New Roman" w:cs="Times New Roman"/>
          <w:color w:val="auto"/>
          <w:szCs w:val="22"/>
          <w:highlight w:val="none"/>
          <w:lang w:eastAsia="zh-CN"/>
        </w:rPr>
        <w:t>四、</w:t>
      </w:r>
      <w:r>
        <w:rPr>
          <w:rFonts w:hint="default" w:ascii="Times New Roman" w:hAnsi="Times New Roman" w:cs="Times New Roman"/>
          <w:color w:val="auto"/>
          <w:szCs w:val="32"/>
          <w:highlight w:val="none"/>
          <w:u w:val="none"/>
          <w:lang w:val="en-US" w:eastAsia="zh-CN" w:bidi="ar-SA"/>
        </w:rPr>
        <w:t>资源</w:t>
      </w:r>
      <w:r>
        <w:rPr>
          <w:rFonts w:hint="default" w:ascii="Times New Roman" w:hAnsi="Times New Roman" w:cs="Times New Roman"/>
          <w:color w:val="auto"/>
          <w:szCs w:val="22"/>
          <w:highlight w:val="none"/>
          <w:lang w:val="en-US" w:eastAsia="zh-CN"/>
        </w:rPr>
        <w:t>利用</w:t>
      </w:r>
      <w:r>
        <w:rPr>
          <w:rFonts w:hint="default" w:ascii="Times New Roman" w:hAnsi="Times New Roman" w:cs="Times New Roman"/>
          <w:color w:val="auto"/>
          <w:szCs w:val="32"/>
          <w:highlight w:val="none"/>
          <w:u w:val="none"/>
          <w:lang w:val="en-US" w:eastAsia="zh-CN" w:bidi="ar-SA"/>
        </w:rPr>
        <w:t>上线</w:t>
      </w:r>
      <w:r>
        <w:rPr>
          <w:rFonts w:hint="default" w:ascii="Times New Roman" w:hAnsi="Times New Roman" w:cs="Times New Roman"/>
          <w:color w:val="auto"/>
          <w:szCs w:val="22"/>
          <w:highlight w:val="none"/>
          <w:lang w:val="en-US" w:eastAsia="zh-CN"/>
        </w:rPr>
        <w:t>（能源、矿产）</w:t>
      </w:r>
    </w:p>
    <w:p>
      <w:pPr>
        <w:numPr>
          <w:ilvl w:val="0"/>
          <w:numId w:val="4"/>
        </w:numPr>
        <w:rPr>
          <w:rFonts w:hint="default" w:ascii="Times New Roman" w:hAnsi="Times New Roman" w:cs="Times New Roman"/>
          <w:i w:val="0"/>
          <w:iCs w:val="0"/>
          <w:color w:val="auto"/>
          <w:szCs w:val="28"/>
          <w:highlight w:val="none"/>
          <w:u w:val="none"/>
          <w:lang w:val="en-US" w:eastAsia="zh-CN"/>
        </w:rPr>
      </w:pPr>
      <w:r>
        <w:rPr>
          <w:rFonts w:hint="default" w:ascii="Times New Roman" w:hAnsi="Times New Roman" w:cs="Times New Roman"/>
          <w:b/>
          <w:bCs/>
          <w:color w:val="auto"/>
          <w:highlight w:val="none"/>
          <w:lang w:val="en-US" w:eastAsia="zh-CN"/>
        </w:rPr>
        <w:t>高污染燃料禁燃区：</w:t>
      </w:r>
      <w:r>
        <w:rPr>
          <w:rFonts w:hint="default" w:ascii="Times New Roman" w:hAnsi="Times New Roman" w:cs="Times New Roman"/>
          <w:i w:val="0"/>
          <w:iCs w:val="0"/>
          <w:color w:val="auto"/>
          <w:szCs w:val="28"/>
          <w:highlight w:val="none"/>
          <w:u w:val="none"/>
          <w:lang w:val="en-US" w:eastAsia="zh-CN"/>
        </w:rPr>
        <w:t>为改善城市大气环境质量，按照《中华人民共和国大气污染防治法》相关要求，划定的禁止销售、使用高污染燃料的区域。</w:t>
      </w:r>
      <w:r>
        <w:rPr>
          <w:rFonts w:hint="default" w:ascii="Times New Roman" w:hAnsi="Times New Roman" w:cs="Times New Roman"/>
          <w:i w:val="0"/>
          <w:iCs w:val="0"/>
          <w:color w:val="auto"/>
          <w:szCs w:val="28"/>
          <w:highlight w:val="none"/>
          <w:u w:val="none"/>
          <w:lang w:val="en-US" w:eastAsia="zh-CN"/>
        </w:rPr>
        <w:br w:type="textWrapping"/>
      </w:r>
    </w:p>
    <w:p>
      <w:pPr>
        <w:numPr>
          <w:ilvl w:val="0"/>
          <w:numId w:val="4"/>
        </w:numPr>
        <w:rPr>
          <w:rFonts w:hint="default" w:ascii="Times New Roman" w:hAnsi="Times New Roman" w:cs="Times New Roman"/>
          <w:i w:val="0"/>
          <w:iCs w:val="0"/>
          <w:color w:val="auto"/>
          <w:szCs w:val="28"/>
          <w:highlight w:val="none"/>
          <w:u w:val="none"/>
          <w:lang w:val="en-US" w:eastAsia="zh-CN"/>
        </w:rPr>
      </w:pPr>
      <w:r>
        <w:rPr>
          <w:rFonts w:hint="default" w:ascii="Times New Roman" w:hAnsi="Times New Roman" w:cs="Times New Roman"/>
          <w:b/>
          <w:bCs/>
          <w:color w:val="auto"/>
          <w:sz w:val="21"/>
          <w:szCs w:val="21"/>
          <w:highlight w:val="none"/>
          <w:lang w:val="en-US" w:eastAsia="zh-CN"/>
        </w:rPr>
        <w:t>矿产</w:t>
      </w:r>
      <w:r>
        <w:rPr>
          <w:rFonts w:hint="default" w:ascii="Times New Roman" w:hAnsi="Times New Roman" w:cs="Times New Roman"/>
          <w:b/>
          <w:bCs/>
          <w:color w:val="auto"/>
          <w:highlight w:val="none"/>
          <w:lang w:val="en-US" w:eastAsia="zh-CN"/>
        </w:rPr>
        <w:t>资源重点管控区：</w:t>
      </w:r>
      <w:r>
        <w:rPr>
          <w:rFonts w:hint="default" w:ascii="Times New Roman" w:hAnsi="Times New Roman" w:cs="Times New Roman"/>
          <w:i w:val="0"/>
          <w:iCs w:val="0"/>
          <w:color w:val="auto"/>
          <w:szCs w:val="28"/>
          <w:highlight w:val="none"/>
          <w:u w:val="none"/>
          <w:lang w:val="en-US" w:eastAsia="zh-CN"/>
        </w:rPr>
        <w:t>指纳入市级以上矿产资源总体规划的区域，包括</w:t>
      </w:r>
      <w:r>
        <w:rPr>
          <w:rFonts w:hint="default" w:ascii="Times New Roman" w:hAnsi="Times New Roman" w:cs="Times New Roman"/>
          <w:b w:val="0"/>
          <w:bCs w:val="0"/>
          <w:color w:val="auto"/>
          <w:szCs w:val="28"/>
          <w:highlight w:val="none"/>
          <w:u w:val="none"/>
          <w:lang w:val="en-US" w:eastAsia="zh-CN"/>
        </w:rPr>
        <w:t>重点矿区</w:t>
      </w:r>
      <w:r>
        <w:rPr>
          <w:rFonts w:hint="default" w:ascii="Times New Roman" w:hAnsi="Times New Roman" w:cs="Times New Roman"/>
          <w:i w:val="0"/>
          <w:iCs w:val="0"/>
          <w:color w:val="auto"/>
          <w:szCs w:val="28"/>
          <w:highlight w:val="none"/>
          <w:u w:val="none"/>
          <w:lang w:val="en-US" w:eastAsia="zh-CN"/>
        </w:rPr>
        <w:t>、</w:t>
      </w:r>
      <w:r>
        <w:rPr>
          <w:rFonts w:hint="default" w:ascii="Times New Roman" w:hAnsi="Times New Roman" w:cs="Times New Roman"/>
          <w:b w:val="0"/>
          <w:bCs w:val="0"/>
          <w:color w:val="auto"/>
          <w:szCs w:val="28"/>
          <w:highlight w:val="none"/>
          <w:u w:val="none"/>
          <w:lang w:val="en-US" w:eastAsia="zh-CN"/>
        </w:rPr>
        <w:t>合法</w:t>
      </w:r>
      <w:r>
        <w:rPr>
          <w:rFonts w:hint="default" w:ascii="Times New Roman" w:hAnsi="Times New Roman" w:cs="Times New Roman"/>
          <w:b w:val="0"/>
          <w:bCs w:val="0"/>
          <w:color w:val="auto"/>
          <w:sz w:val="21"/>
          <w:szCs w:val="28"/>
          <w:highlight w:val="none"/>
          <w:u w:val="none"/>
          <w:lang w:val="en-US" w:eastAsia="zh-CN"/>
        </w:rPr>
        <w:t>采矿权</w:t>
      </w:r>
      <w:r>
        <w:rPr>
          <w:rFonts w:hint="default" w:ascii="Times New Roman" w:hAnsi="Times New Roman" w:cs="Times New Roman"/>
          <w:b w:val="0"/>
          <w:bCs w:val="0"/>
          <w:color w:val="auto"/>
          <w:szCs w:val="28"/>
          <w:highlight w:val="none"/>
          <w:u w:val="none"/>
          <w:lang w:val="en-US" w:eastAsia="zh-CN"/>
        </w:rPr>
        <w:t>、勘查</w:t>
      </w:r>
      <w:r>
        <w:rPr>
          <w:rFonts w:hint="default" w:ascii="Times New Roman" w:hAnsi="Times New Roman" w:cs="Times New Roman"/>
          <w:b w:val="0"/>
          <w:bCs w:val="0"/>
          <w:color w:val="auto"/>
          <w:sz w:val="21"/>
          <w:szCs w:val="28"/>
          <w:highlight w:val="none"/>
          <w:u w:val="none"/>
          <w:lang w:val="en-US" w:eastAsia="zh-CN"/>
        </w:rPr>
        <w:t>规划</w:t>
      </w:r>
      <w:r>
        <w:rPr>
          <w:rFonts w:hint="default" w:ascii="Times New Roman" w:hAnsi="Times New Roman" w:cs="Times New Roman"/>
          <w:b w:val="0"/>
          <w:bCs w:val="0"/>
          <w:color w:val="auto"/>
          <w:szCs w:val="28"/>
          <w:highlight w:val="none"/>
          <w:u w:val="none"/>
          <w:lang w:val="en-US" w:eastAsia="zh-CN"/>
        </w:rPr>
        <w:t>区块、开采规划区块</w:t>
      </w:r>
      <w:r>
        <w:rPr>
          <w:rFonts w:hint="default" w:ascii="Times New Roman" w:hAnsi="Times New Roman" w:cs="Times New Roman"/>
          <w:i w:val="0"/>
          <w:iCs w:val="0"/>
          <w:color w:val="auto"/>
          <w:szCs w:val="28"/>
          <w:highlight w:val="none"/>
          <w:u w:val="none"/>
          <w:lang w:val="en-US" w:eastAsia="zh-CN"/>
        </w:rPr>
        <w:t>、</w:t>
      </w:r>
      <w:r>
        <w:rPr>
          <w:rFonts w:hint="default" w:ascii="Times New Roman" w:hAnsi="Times New Roman" w:cs="Times New Roman"/>
          <w:b w:val="0"/>
          <w:bCs w:val="0"/>
          <w:color w:val="auto"/>
          <w:szCs w:val="28"/>
          <w:highlight w:val="none"/>
          <w:u w:val="none"/>
          <w:lang w:val="en-US" w:eastAsia="zh-CN"/>
        </w:rPr>
        <w:t>矿产</w:t>
      </w:r>
      <w:r>
        <w:rPr>
          <w:rFonts w:hint="default" w:ascii="Times New Roman" w:hAnsi="Times New Roman" w:cs="Times New Roman"/>
          <w:b w:val="0"/>
          <w:bCs w:val="0"/>
          <w:color w:val="auto"/>
          <w:sz w:val="21"/>
          <w:szCs w:val="28"/>
          <w:highlight w:val="none"/>
          <w:u w:val="none"/>
          <w:lang w:val="en-US" w:eastAsia="zh-CN"/>
        </w:rPr>
        <w:t>开发</w:t>
      </w:r>
      <w:r>
        <w:rPr>
          <w:rFonts w:hint="default" w:ascii="Times New Roman" w:hAnsi="Times New Roman" w:cs="Times New Roman"/>
          <w:b w:val="0"/>
          <w:bCs w:val="0"/>
          <w:color w:val="auto"/>
          <w:szCs w:val="28"/>
          <w:highlight w:val="none"/>
          <w:u w:val="none"/>
          <w:lang w:val="en-US" w:eastAsia="zh-CN"/>
        </w:rPr>
        <w:t>项目</w:t>
      </w:r>
      <w:r>
        <w:rPr>
          <w:rFonts w:hint="default" w:ascii="Times New Roman" w:hAnsi="Times New Roman" w:cs="Times New Roman"/>
          <w:i w:val="0"/>
          <w:iCs w:val="0"/>
          <w:color w:val="auto"/>
          <w:szCs w:val="28"/>
          <w:highlight w:val="none"/>
          <w:u w:val="none"/>
          <w:lang w:val="en-US" w:eastAsia="zh-CN"/>
        </w:rPr>
        <w:t>、</w:t>
      </w:r>
      <w:r>
        <w:rPr>
          <w:rFonts w:hint="default" w:ascii="Times New Roman" w:hAnsi="Times New Roman" w:cs="Times New Roman"/>
          <w:b w:val="0"/>
          <w:bCs w:val="0"/>
          <w:color w:val="auto"/>
          <w:szCs w:val="28"/>
          <w:highlight w:val="none"/>
          <w:u w:val="none"/>
          <w:lang w:val="en-US" w:eastAsia="zh-CN"/>
        </w:rPr>
        <w:t>战略性矿产</w:t>
      </w:r>
      <w:r>
        <w:rPr>
          <w:rFonts w:hint="default" w:ascii="Times New Roman" w:hAnsi="Times New Roman" w:cs="Times New Roman"/>
          <w:i w:val="0"/>
          <w:iCs w:val="0"/>
          <w:color w:val="auto"/>
          <w:szCs w:val="28"/>
          <w:highlight w:val="none"/>
          <w:u w:val="none"/>
          <w:lang w:val="en-US" w:eastAsia="zh-CN"/>
        </w:rPr>
        <w:t>。</w:t>
      </w:r>
    </w:p>
    <w:p>
      <w:pPr>
        <w:numPr>
          <w:ilvl w:val="-1"/>
          <w:numId w:val="0"/>
        </w:numPr>
        <w:rPr>
          <w:rFonts w:hint="default"/>
          <w:color w:val="auto"/>
          <w:highlight w:val="none"/>
          <w:lang w:val="en-US" w:eastAsia="zh-CN"/>
        </w:rPr>
      </w:pPr>
    </w:p>
    <w:p>
      <w:pPr>
        <w:numPr>
          <w:ilvl w:val="0"/>
          <w:numId w:val="4"/>
        </w:numPr>
        <w:rPr>
          <w:rFonts w:hint="default" w:ascii="Times New Roman" w:hAnsi="Times New Roman" w:cs="Times New Roman"/>
          <w:i w:val="0"/>
          <w:iCs w:val="0"/>
          <w:color w:val="auto"/>
          <w:szCs w:val="28"/>
          <w:highlight w:val="none"/>
          <w:u w:val="none"/>
          <w:lang w:val="en-US" w:eastAsia="zh-CN"/>
        </w:rPr>
      </w:pPr>
      <w:r>
        <w:rPr>
          <w:rFonts w:hint="default" w:ascii="Times New Roman" w:hAnsi="Times New Roman" w:cs="Times New Roman"/>
          <w:b/>
          <w:bCs/>
          <w:color w:val="auto"/>
          <w:highlight w:val="none"/>
          <w:lang w:val="en-US" w:eastAsia="zh-CN"/>
        </w:rPr>
        <w:t>重点矿区：</w:t>
      </w:r>
      <w:r>
        <w:rPr>
          <w:rFonts w:hint="default" w:ascii="Times New Roman" w:hAnsi="Times New Roman" w:cs="Times New Roman"/>
          <w:i w:val="0"/>
          <w:iCs w:val="0"/>
          <w:color w:val="auto"/>
          <w:szCs w:val="28"/>
          <w:highlight w:val="none"/>
          <w:u w:val="none"/>
          <w:lang w:val="en-US" w:eastAsia="zh-CN"/>
        </w:rPr>
        <w:t>指以战略性矿产或区域优势特色矿产为主，所划定的资源储量大、资源条件好、具有开发利用基础、对全国资源开发具有举足轻重作用的大型矿产地和集矿区。</w:t>
      </w:r>
      <w:r>
        <w:rPr>
          <w:rFonts w:hint="default" w:ascii="Times New Roman" w:hAnsi="Times New Roman" w:cs="Times New Roman"/>
          <w:i w:val="0"/>
          <w:iCs w:val="0"/>
          <w:color w:val="auto"/>
          <w:szCs w:val="28"/>
          <w:highlight w:val="none"/>
          <w:u w:val="none"/>
          <w:lang w:val="en-US" w:eastAsia="zh-CN"/>
        </w:rPr>
        <w:br w:type="textWrapping"/>
      </w:r>
    </w:p>
    <w:p>
      <w:pPr>
        <w:numPr>
          <w:ilvl w:val="0"/>
          <w:numId w:val="4"/>
        </w:numPr>
        <w:rPr>
          <w:rFonts w:hint="default" w:ascii="Times New Roman" w:hAnsi="Times New Roman" w:cs="Times New Roman"/>
          <w:i w:val="0"/>
          <w:iCs w:val="0"/>
          <w:color w:val="auto"/>
          <w:szCs w:val="28"/>
          <w:highlight w:val="none"/>
          <w:u w:val="none"/>
          <w:lang w:val="en-US" w:eastAsia="zh-CN"/>
        </w:rPr>
      </w:pPr>
      <w:r>
        <w:rPr>
          <w:rFonts w:hint="default" w:ascii="Times New Roman" w:hAnsi="Times New Roman" w:cs="Times New Roman"/>
          <w:b/>
          <w:bCs/>
          <w:color w:val="auto"/>
          <w:highlight w:val="none"/>
          <w:lang w:val="en-US" w:eastAsia="zh-CN"/>
        </w:rPr>
        <w:t>合法</w:t>
      </w:r>
      <w:r>
        <w:rPr>
          <w:rFonts w:hint="default" w:ascii="Times New Roman" w:hAnsi="Times New Roman" w:cs="Times New Roman"/>
          <w:b/>
          <w:bCs/>
          <w:color w:val="auto"/>
          <w:sz w:val="21"/>
          <w:szCs w:val="21"/>
          <w:highlight w:val="none"/>
          <w:lang w:val="en-US" w:eastAsia="zh-CN"/>
        </w:rPr>
        <w:t>采矿权</w:t>
      </w:r>
      <w:r>
        <w:rPr>
          <w:rFonts w:hint="default" w:ascii="Times New Roman" w:hAnsi="Times New Roman" w:cs="Times New Roman"/>
          <w:b/>
          <w:bCs/>
          <w:color w:val="auto"/>
          <w:highlight w:val="none"/>
          <w:lang w:val="en-US" w:eastAsia="zh-CN"/>
        </w:rPr>
        <w:t>：</w:t>
      </w:r>
      <w:r>
        <w:rPr>
          <w:rFonts w:hint="default" w:ascii="Times New Roman" w:hAnsi="Times New Roman" w:cs="Times New Roman"/>
          <w:i w:val="0"/>
          <w:iCs w:val="0"/>
          <w:color w:val="auto"/>
          <w:szCs w:val="28"/>
          <w:highlight w:val="none"/>
          <w:u w:val="none"/>
          <w:lang w:val="en-US" w:eastAsia="zh-CN"/>
        </w:rPr>
        <w:t>指已获得政府部门颁发的采矿授权，并依据法律规定对矿产资源所享有的开采、利用、收益和管理的权利。</w:t>
      </w:r>
      <w:r>
        <w:rPr>
          <w:rFonts w:hint="default" w:ascii="Times New Roman" w:hAnsi="Times New Roman" w:cs="Times New Roman"/>
          <w:i w:val="0"/>
          <w:iCs w:val="0"/>
          <w:color w:val="auto"/>
          <w:szCs w:val="28"/>
          <w:highlight w:val="none"/>
          <w:u w:val="none"/>
          <w:lang w:val="en-US" w:eastAsia="zh-CN"/>
        </w:rPr>
        <w:br w:type="textWrapping"/>
      </w:r>
    </w:p>
    <w:p>
      <w:pPr>
        <w:numPr>
          <w:ilvl w:val="0"/>
          <w:numId w:val="4"/>
        </w:numPr>
        <w:rPr>
          <w:rFonts w:hint="default"/>
          <w:highlight w:val="none"/>
          <w:lang w:val="en-US" w:eastAsia="zh-CN"/>
        </w:rPr>
      </w:pPr>
      <w:r>
        <w:rPr>
          <w:rFonts w:hint="default" w:ascii="Times New Roman" w:hAnsi="Times New Roman" w:cs="Times New Roman"/>
          <w:b/>
          <w:bCs/>
          <w:color w:val="auto"/>
          <w:highlight w:val="none"/>
          <w:lang w:val="en-US" w:eastAsia="zh-CN"/>
        </w:rPr>
        <w:t>勘查</w:t>
      </w:r>
      <w:r>
        <w:rPr>
          <w:rFonts w:hint="default" w:ascii="Times New Roman" w:hAnsi="Times New Roman" w:cs="Times New Roman"/>
          <w:b/>
          <w:bCs/>
          <w:color w:val="auto"/>
          <w:sz w:val="21"/>
          <w:szCs w:val="21"/>
          <w:highlight w:val="none"/>
          <w:lang w:val="en-US" w:eastAsia="zh-CN"/>
        </w:rPr>
        <w:t>规划</w:t>
      </w:r>
      <w:r>
        <w:rPr>
          <w:rFonts w:hint="default" w:ascii="Times New Roman" w:hAnsi="Times New Roman" w:cs="Times New Roman"/>
          <w:b/>
          <w:bCs/>
          <w:color w:val="auto"/>
          <w:highlight w:val="none"/>
          <w:lang w:val="en-US" w:eastAsia="zh-CN"/>
        </w:rPr>
        <w:t>区块：</w:t>
      </w:r>
      <w:r>
        <w:rPr>
          <w:rFonts w:ascii="Times New Roman" w:hAnsi="Times New Roman" w:cs="Times New Roman" w:eastAsiaTheme="minorEastAsia"/>
          <w:color w:val="auto"/>
          <w:sz w:val="21"/>
          <w:szCs w:val="28"/>
          <w:highlight w:val="none"/>
          <w:u w:val="none"/>
        </w:rPr>
        <w:t>指按照科学布局、优化结构和规模开发的要求，充分考虑矿产资源赋存特点、资源储量规模、勘查程度、开发利用现状、经济技术条件和矿山地质环境保护等因素的影响，划分出指导探矿权合理设置的空间单元。</w:t>
      </w:r>
    </w:p>
    <w:p>
      <w:pPr>
        <w:numPr>
          <w:ilvl w:val="-1"/>
          <w:numId w:val="0"/>
        </w:numPr>
        <w:rPr>
          <w:rFonts w:hint="default"/>
          <w:color w:val="auto"/>
          <w:highlight w:val="none"/>
          <w:lang w:val="en-US" w:eastAsia="zh-CN"/>
        </w:rPr>
      </w:pPr>
    </w:p>
    <w:p>
      <w:pPr>
        <w:numPr>
          <w:ilvl w:val="0"/>
          <w:numId w:val="4"/>
        </w:numPr>
        <w:rPr>
          <w:rFonts w:hint="default" w:ascii="Times New Roman" w:hAnsi="Times New Roman" w:cs="Times New Roman"/>
          <w:i w:val="0"/>
          <w:iCs w:val="0"/>
          <w:color w:val="auto"/>
          <w:szCs w:val="28"/>
          <w:highlight w:val="none"/>
          <w:u w:val="none"/>
          <w:lang w:val="en-US" w:eastAsia="zh-CN"/>
        </w:rPr>
      </w:pPr>
      <w:r>
        <w:rPr>
          <w:rFonts w:hint="default" w:ascii="Times New Roman" w:hAnsi="Times New Roman" w:cs="Times New Roman"/>
          <w:b/>
          <w:bCs/>
          <w:color w:val="auto"/>
          <w:highlight w:val="none"/>
          <w:lang w:val="en-US" w:eastAsia="zh-CN"/>
        </w:rPr>
        <w:t>开采规划区块：</w:t>
      </w:r>
      <w:r>
        <w:rPr>
          <w:rFonts w:ascii="Times New Roman" w:hAnsi="Times New Roman" w:cs="Times New Roman" w:eastAsiaTheme="minorEastAsia"/>
          <w:color w:val="auto"/>
          <w:sz w:val="21"/>
          <w:szCs w:val="28"/>
          <w:highlight w:val="none"/>
          <w:u w:val="none"/>
        </w:rPr>
        <w:t>指为实现矿产资源开发的合理布局，按照科学布局、优化结构和规模开发的要求，充分考虑矿产资源赋存特点、资源储量规模、勘查程度、开发利用现状、技术经济条件和矿山地质环境保护等因素的影响，划分出的指导采矿权合理设置的空间单元。</w:t>
      </w:r>
      <w:r>
        <w:rPr>
          <w:rFonts w:hint="default" w:ascii="Times New Roman" w:hAnsi="Times New Roman" w:cs="Times New Roman"/>
          <w:i w:val="0"/>
          <w:iCs w:val="0"/>
          <w:color w:val="auto"/>
          <w:szCs w:val="28"/>
          <w:highlight w:val="none"/>
          <w:u w:val="none"/>
          <w:lang w:val="en-US" w:eastAsia="zh-CN"/>
        </w:rPr>
        <w:br w:type="textWrapping"/>
      </w:r>
    </w:p>
    <w:p>
      <w:pPr>
        <w:numPr>
          <w:ilvl w:val="0"/>
          <w:numId w:val="4"/>
        </w:numPr>
        <w:rPr>
          <w:rFonts w:hint="default" w:ascii="Times New Roman" w:hAnsi="Times New Roman" w:cs="Times New Roman"/>
          <w:i w:val="0"/>
          <w:iCs w:val="0"/>
          <w:color w:val="auto"/>
          <w:szCs w:val="28"/>
          <w:highlight w:val="none"/>
          <w:u w:val="none"/>
          <w:lang w:val="en-US" w:eastAsia="zh-CN"/>
        </w:rPr>
      </w:pPr>
      <w:r>
        <w:rPr>
          <w:rFonts w:hint="default" w:ascii="Times New Roman" w:hAnsi="Times New Roman" w:cs="Times New Roman"/>
          <w:b/>
          <w:bCs/>
          <w:color w:val="auto"/>
          <w:highlight w:val="none"/>
          <w:lang w:val="en-US" w:eastAsia="zh-CN"/>
        </w:rPr>
        <w:t>矿产</w:t>
      </w:r>
      <w:r>
        <w:rPr>
          <w:rFonts w:hint="default" w:ascii="Times New Roman" w:hAnsi="Times New Roman" w:cs="Times New Roman"/>
          <w:b/>
          <w:bCs/>
          <w:color w:val="auto"/>
          <w:sz w:val="21"/>
          <w:szCs w:val="21"/>
          <w:highlight w:val="none"/>
          <w:lang w:val="en-US" w:eastAsia="zh-CN"/>
        </w:rPr>
        <w:t>开发</w:t>
      </w:r>
      <w:r>
        <w:rPr>
          <w:rFonts w:hint="default" w:ascii="Times New Roman" w:hAnsi="Times New Roman" w:cs="Times New Roman"/>
          <w:b/>
          <w:bCs/>
          <w:color w:val="auto"/>
          <w:highlight w:val="none"/>
          <w:lang w:val="en-US" w:eastAsia="zh-CN"/>
        </w:rPr>
        <w:t>项目：</w:t>
      </w:r>
      <w:r>
        <w:rPr>
          <w:rFonts w:hint="default" w:ascii="Times New Roman" w:hAnsi="Times New Roman" w:cs="Times New Roman"/>
          <w:i w:val="0"/>
          <w:iCs w:val="0"/>
          <w:color w:val="auto"/>
          <w:szCs w:val="28"/>
          <w:highlight w:val="none"/>
          <w:u w:val="none"/>
          <w:lang w:val="en-US" w:eastAsia="zh-CN"/>
        </w:rPr>
        <w:t>指已纳入市级以上国土空间规划的矿产资源项目。</w:t>
      </w:r>
    </w:p>
    <w:p>
      <w:pPr>
        <w:numPr>
          <w:ilvl w:val="-1"/>
          <w:numId w:val="0"/>
        </w:numPr>
        <w:rPr>
          <w:rFonts w:hint="default" w:ascii="Times New Roman" w:hAnsi="Times New Roman" w:cs="Times New Roman"/>
          <w:i w:val="0"/>
          <w:iCs w:val="0"/>
          <w:color w:val="auto"/>
          <w:szCs w:val="28"/>
          <w:highlight w:val="none"/>
          <w:u w:val="none"/>
          <w:lang w:val="en-US" w:eastAsia="zh-CN"/>
        </w:rPr>
      </w:pPr>
      <w:r>
        <w:rPr>
          <w:rFonts w:hint="default" w:ascii="Times New Roman" w:hAnsi="Times New Roman" w:cs="Times New Roman"/>
          <w:i w:val="0"/>
          <w:iCs w:val="0"/>
          <w:color w:val="auto"/>
          <w:szCs w:val="28"/>
          <w:highlight w:val="none"/>
          <w:u w:val="none"/>
          <w:lang w:val="en-US" w:eastAsia="zh-CN"/>
        </w:rPr>
        <w:br w:type="textWrapping"/>
      </w:r>
      <w:r>
        <w:rPr>
          <w:rFonts w:hint="eastAsia" w:ascii="Times New Roman" w:hAnsi="Times New Roman" w:cs="Times New Roman"/>
          <w:i w:val="0"/>
          <w:iCs w:val="0"/>
          <w:color w:val="auto"/>
          <w:szCs w:val="28"/>
          <w:highlight w:val="none"/>
          <w:u w:val="none"/>
          <w:lang w:val="en-US" w:eastAsia="zh-CN"/>
        </w:rPr>
        <w:t xml:space="preserve">8. </w:t>
      </w:r>
      <w:r>
        <w:rPr>
          <w:rFonts w:hint="default" w:ascii="Times New Roman" w:hAnsi="Times New Roman" w:cs="Times New Roman"/>
          <w:b/>
          <w:bCs/>
          <w:color w:val="auto"/>
          <w:highlight w:val="none"/>
          <w:lang w:val="en-US" w:eastAsia="zh-CN"/>
        </w:rPr>
        <w:t>战略性矿产：</w:t>
      </w:r>
      <w:r>
        <w:rPr>
          <w:rFonts w:hint="default" w:ascii="Times New Roman" w:hAnsi="Times New Roman" w:cs="Times New Roman"/>
          <w:i w:val="0"/>
          <w:iCs w:val="0"/>
          <w:color w:val="auto"/>
          <w:szCs w:val="28"/>
          <w:highlight w:val="none"/>
          <w:u w:val="none"/>
          <w:lang w:val="en-US" w:eastAsia="zh-CN"/>
        </w:rPr>
        <w:t>指与国家利益存在不同程度相关性的矿产资源。</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jc w:val="both"/>
        <w:textAlignment w:val="auto"/>
        <w:outlineLvl w:val="9"/>
        <w:rPr>
          <w:rFonts w:hint="default" w:ascii="Times New Roman" w:hAnsi="Times New Roman" w:cs="Times New Roman"/>
          <w:i w:val="0"/>
          <w:iCs w:val="0"/>
          <w:color w:val="auto"/>
          <w:szCs w:val="28"/>
          <w:highlight w:val="none"/>
          <w:u w:val="none"/>
          <w:lang w:val="en-US" w:eastAsia="zh-CN"/>
        </w:rPr>
      </w:pPr>
      <w:r>
        <w:rPr>
          <w:rFonts w:hint="default" w:ascii="Times New Roman" w:hAnsi="Times New Roman" w:cs="Times New Roman"/>
          <w:color w:val="auto"/>
          <w:szCs w:val="22"/>
          <w:highlight w:val="none"/>
          <w:lang w:eastAsia="zh-CN"/>
        </w:rPr>
        <w:t>五、其他</w:t>
      </w:r>
    </w:p>
    <w:p>
      <w:pPr>
        <w:numPr>
          <w:ilvl w:val="0"/>
          <w:numId w:val="5"/>
        </w:numPr>
        <w:rPr>
          <w:rFonts w:hint="default" w:ascii="Times New Roman" w:hAnsi="Times New Roman" w:cs="Times New Roman"/>
          <w:i w:val="0"/>
          <w:iCs w:val="0"/>
          <w:color w:val="auto"/>
          <w:szCs w:val="28"/>
          <w:highlight w:val="none"/>
          <w:u w:val="none"/>
          <w:lang w:val="en-US" w:eastAsia="zh-CN"/>
        </w:rPr>
      </w:pPr>
      <w:r>
        <w:rPr>
          <w:rFonts w:hint="default" w:ascii="Times New Roman" w:hAnsi="Times New Roman" w:cs="Times New Roman"/>
          <w:b/>
          <w:bCs/>
          <w:color w:val="auto"/>
          <w:highlight w:val="none"/>
          <w:lang w:val="en-US" w:eastAsia="zh-CN"/>
        </w:rPr>
        <w:t>单元特点：</w:t>
      </w:r>
      <w:r>
        <w:rPr>
          <w:rFonts w:hint="default" w:ascii="Times New Roman" w:hAnsi="Times New Roman" w:cs="Times New Roman"/>
          <w:i w:val="0"/>
          <w:iCs w:val="0"/>
          <w:color w:val="auto"/>
          <w:szCs w:val="28"/>
          <w:highlight w:val="none"/>
          <w:u w:val="none"/>
          <w:lang w:val="en-US" w:eastAsia="zh-CN"/>
        </w:rPr>
        <w:t>指构成管控单元的特征要素。其中，优先保护单元包括公益林、天然林、饮用水水源保护区、江河源头区、水产种质资源保护区、大气环境一类功能区等，单元名称中涉及的各类自然保护地在单元特点中不重复标注；重点管控单元包括已批复园区、</w:t>
      </w:r>
      <w:r>
        <w:rPr>
          <w:rFonts w:hint="default" w:ascii="Times New Roman" w:hAnsi="Times New Roman" w:cs="Times New Roman" w:eastAsiaTheme="minorEastAsia"/>
          <w:b w:val="0"/>
          <w:bCs/>
          <w:color w:val="auto"/>
          <w:sz w:val="21"/>
          <w:szCs w:val="21"/>
          <w:highlight w:val="none"/>
        </w:rPr>
        <w:t>拟规划工业集聚区</w:t>
      </w:r>
      <w:r>
        <w:rPr>
          <w:rFonts w:hint="default" w:ascii="Times New Roman" w:hAnsi="Times New Roman" w:cs="Times New Roman"/>
          <w:b w:val="0"/>
          <w:bCs/>
          <w:color w:val="auto"/>
          <w:sz w:val="21"/>
          <w:szCs w:val="21"/>
          <w:highlight w:val="none"/>
          <w:lang w:eastAsia="zh-CN"/>
        </w:rPr>
        <w:t>、</w:t>
      </w:r>
      <w:r>
        <w:rPr>
          <w:rFonts w:hint="default" w:ascii="Times New Roman" w:hAnsi="Times New Roman" w:cs="Times New Roman"/>
          <w:color w:val="auto"/>
          <w:kern w:val="0"/>
          <w:szCs w:val="21"/>
          <w:highlight w:val="none"/>
        </w:rPr>
        <w:t>拟规划港口</w:t>
      </w:r>
      <w:r>
        <w:rPr>
          <w:rFonts w:hint="default" w:ascii="Times New Roman" w:hAnsi="Times New Roman" w:cs="Times New Roman"/>
          <w:color w:val="auto"/>
          <w:kern w:val="0"/>
          <w:szCs w:val="21"/>
          <w:highlight w:val="none"/>
          <w:lang w:eastAsia="zh-CN"/>
        </w:rPr>
        <w:t>、</w:t>
      </w:r>
      <w:r>
        <w:rPr>
          <w:rFonts w:hint="default" w:ascii="Times New Roman" w:hAnsi="Times New Roman" w:cs="Times New Roman"/>
          <w:i w:val="0"/>
          <w:iCs w:val="0"/>
          <w:color w:val="auto"/>
          <w:szCs w:val="28"/>
          <w:highlight w:val="none"/>
          <w:u w:val="none"/>
          <w:lang w:val="en-US" w:eastAsia="zh-CN"/>
        </w:rPr>
        <w:t>土壤污染重点监管单位、涉重金属重点行业企业、重点矿区、合法采矿权等。一般管控单元的单元特点包括未纳入综合管控单元图层的要素。</w:t>
      </w:r>
    </w:p>
    <w:p>
      <w:pPr>
        <w:numPr>
          <w:ilvl w:val="0"/>
          <w:numId w:val="0"/>
        </w:numPr>
        <w:rPr>
          <w:rFonts w:hint="default" w:ascii="Times New Roman" w:hAnsi="Times New Roman" w:cs="Times New Roman"/>
          <w:color w:val="auto"/>
          <w:highlight w:val="none"/>
          <w:lang w:val="en-US" w:eastAsia="zh-CN"/>
        </w:rPr>
      </w:pPr>
    </w:p>
    <w:p>
      <w:pPr>
        <w:numPr>
          <w:ilvl w:val="0"/>
          <w:numId w:val="5"/>
        </w:numPr>
        <w:rPr>
          <w:rFonts w:hint="default" w:ascii="Times New Roman" w:hAnsi="Times New Roman" w:cs="Times New Roman"/>
          <w:i w:val="0"/>
          <w:iCs w:val="0"/>
          <w:color w:val="auto"/>
          <w:szCs w:val="28"/>
          <w:highlight w:val="none"/>
          <w:u w:val="none"/>
          <w:lang w:val="en-US" w:eastAsia="zh-CN"/>
        </w:rPr>
      </w:pPr>
      <w:r>
        <w:rPr>
          <w:rFonts w:hint="default" w:ascii="Times New Roman" w:hAnsi="Times New Roman" w:cs="Times New Roman"/>
          <w:b/>
          <w:bCs/>
          <w:color w:val="auto"/>
          <w:highlight w:val="none"/>
          <w:lang w:val="en-US" w:eastAsia="zh-CN"/>
        </w:rPr>
        <w:t>要素属性：</w:t>
      </w:r>
      <w:r>
        <w:rPr>
          <w:rFonts w:hint="default" w:ascii="Times New Roman" w:hAnsi="Times New Roman" w:cs="Times New Roman"/>
          <w:i w:val="0"/>
          <w:iCs w:val="0"/>
          <w:color w:val="auto"/>
          <w:szCs w:val="28"/>
          <w:highlight w:val="none"/>
          <w:u w:val="none"/>
          <w:lang w:val="en-US" w:eastAsia="zh-CN"/>
        </w:rPr>
        <w:t>根据单元特点识别出相应专题的管控分区属性，优先保护单元包括生态保护红线、一般生态空间、水源涵养功能（极）重要区、生物多样性维护功能（极）重要区、（极）重度石漠化区等；重点管控单元包括水环境工业污染重点管控区、大气环境高排放重点管控区、建设用地污染风险重点管控区、高污染燃料禁燃区、矿产资源重点管控区等；一般管控单元的要素属性为未纳入综合管控单元图层的相关属性，如</w:t>
      </w:r>
      <w:r>
        <w:rPr>
          <w:rFonts w:hint="default" w:ascii="Times New Roman" w:hAnsi="Times New Roman" w:cs="Times New Roman" w:eastAsiaTheme="minorEastAsia"/>
          <w:b w:val="0"/>
          <w:bCs/>
          <w:color w:val="auto"/>
          <w:highlight w:val="none"/>
        </w:rPr>
        <w:t>大气环境弱扩散重点管控区</w:t>
      </w:r>
      <w:r>
        <w:rPr>
          <w:rFonts w:hint="default" w:ascii="Times New Roman" w:hAnsi="Times New Roman" w:cs="Times New Roman"/>
          <w:b w:val="0"/>
          <w:bCs/>
          <w:color w:val="auto"/>
          <w:highlight w:val="none"/>
          <w:lang w:eastAsia="zh-CN"/>
        </w:rPr>
        <w:t>、</w:t>
      </w:r>
      <w:r>
        <w:rPr>
          <w:rFonts w:ascii="Times New Roman" w:hAnsi="Times New Roman" w:cs="Times New Roman" w:eastAsiaTheme="minorEastAsia"/>
          <w:color w:val="auto"/>
          <w:highlight w:val="none"/>
        </w:rPr>
        <w:t>高污染燃料禁燃区</w:t>
      </w:r>
      <w:r>
        <w:rPr>
          <w:rFonts w:hint="default" w:ascii="Times New Roman" w:hAnsi="Times New Roman" w:cs="Times New Roman"/>
          <w:color w:val="auto"/>
          <w:highlight w:val="none"/>
          <w:lang w:eastAsia="zh-CN"/>
        </w:rPr>
        <w:t>等。</w:t>
      </w:r>
    </w:p>
    <w:p>
      <w:pPr>
        <w:pStyle w:val="2"/>
        <w:rPr>
          <w:rFonts w:hint="default" w:ascii="Times New Roman" w:hAnsi="Times New Roman" w:cs="Times New Roman"/>
          <w:color w:val="auto"/>
          <w:highlight w:val="none"/>
        </w:rPr>
        <w:sectPr>
          <w:pgSz w:w="16838" w:h="11905" w:orient="landscape"/>
          <w:pgMar w:top="1797" w:right="1440" w:bottom="1797" w:left="1440" w:header="851" w:footer="992" w:gutter="0"/>
          <w:pgNumType w:fmt="upperRoman" w:start="1"/>
          <w:cols w:space="0" w:num="1"/>
          <w:rtlGutter w:val="0"/>
          <w:docGrid w:type="lines" w:linePitch="312" w:charSpace="0"/>
        </w:sectPr>
      </w:pPr>
    </w:p>
    <w:p>
      <w:pPr>
        <w:pStyle w:val="3"/>
        <w:rPr>
          <w:rFonts w:hint="default"/>
          <w:color w:val="auto"/>
          <w:highlight w:val="none"/>
        </w:rPr>
      </w:pPr>
      <w:bookmarkStart w:id="0" w:name="_Toc27601841"/>
      <w:bookmarkStart w:id="1" w:name="_Toc30777"/>
      <w:bookmarkStart w:id="2" w:name="_Toc30210"/>
      <w:bookmarkStart w:id="3" w:name="_Toc20022"/>
      <w:bookmarkStart w:id="4" w:name="_Toc1751"/>
      <w:bookmarkStart w:id="5" w:name="_Toc2995"/>
      <w:bookmarkStart w:id="6" w:name="_Toc18932"/>
      <w:bookmarkStart w:id="7" w:name="_Toc16850"/>
      <w:bookmarkStart w:id="8" w:name="_Toc13423"/>
      <w:bookmarkStart w:id="9" w:name="_Toc9560"/>
      <w:bookmarkStart w:id="10" w:name="_Toc18213"/>
      <w:bookmarkStart w:id="11" w:name="_Toc5717"/>
      <w:bookmarkStart w:id="12" w:name="_Toc23502"/>
      <w:bookmarkStart w:id="13" w:name="_Toc27601838"/>
      <w:bookmarkStart w:id="14" w:name="_Toc10299"/>
      <w:bookmarkStart w:id="15" w:name="_Toc26551"/>
      <w:r>
        <w:rPr>
          <w:rFonts w:hint="eastAsia"/>
          <w:color w:val="auto"/>
          <w:highlight w:val="none"/>
          <w:lang w:val="en-US" w:eastAsia="zh-CN"/>
        </w:rPr>
        <w:t>1</w:t>
      </w:r>
      <w:r>
        <w:rPr>
          <w:rFonts w:hint="default"/>
          <w:color w:val="auto"/>
          <w:highlight w:val="none"/>
          <w:lang w:val="en-US" w:eastAsia="zh-CN"/>
        </w:rPr>
        <w:t xml:space="preserve"> </w:t>
      </w:r>
      <w:r>
        <w:rPr>
          <w:rFonts w:hint="default"/>
          <w:color w:val="auto"/>
          <w:highlight w:val="none"/>
        </w:rPr>
        <w:t>城中区</w:t>
      </w:r>
      <w:bookmarkEnd w:id="0"/>
      <w:bookmarkEnd w:id="1"/>
      <w:bookmarkEnd w:id="2"/>
      <w:bookmarkEnd w:id="3"/>
      <w:bookmarkEnd w:id="4"/>
      <w:bookmarkEnd w:id="5"/>
      <w:bookmarkEnd w:id="6"/>
      <w:bookmarkEnd w:id="7"/>
      <w:bookmarkEnd w:id="8"/>
      <w:bookmarkEnd w:id="9"/>
    </w:p>
    <w:p>
      <w:pPr>
        <w:pStyle w:val="25"/>
        <w:rPr>
          <w:rFonts w:hint="default" w:ascii="Times New Roman" w:hAnsi="Times New Roman" w:cs="Times New Roman"/>
          <w:strike w:val="0"/>
          <w:dstrike w:val="0"/>
          <w:color w:val="auto"/>
          <w:highlight w:val="none"/>
        </w:rPr>
      </w:pPr>
      <w:r>
        <w:rPr>
          <w:rFonts w:hint="default" w:ascii="Times New Roman" w:hAnsi="Times New Roman" w:cs="Times New Roman"/>
          <w:strike w:val="0"/>
          <w:dstrike w:val="0"/>
          <w:color w:val="auto"/>
          <w:highlight w:val="none"/>
        </w:rPr>
        <w:t>表</w:t>
      </w:r>
      <w:r>
        <w:rPr>
          <w:rFonts w:hint="eastAsia" w:cs="Times New Roman"/>
          <w:strike w:val="0"/>
          <w:dstrike w:val="0"/>
          <w:color w:val="auto"/>
          <w:highlight w:val="none"/>
          <w:lang w:val="en-US" w:eastAsia="zh-CN"/>
        </w:rPr>
        <w:t>1</w:t>
      </w:r>
      <w:r>
        <w:rPr>
          <w:rFonts w:hint="default" w:ascii="Times New Roman" w:hAnsi="Times New Roman" w:cs="Times New Roman"/>
          <w:strike w:val="0"/>
          <w:dstrike w:val="0"/>
          <w:color w:val="auto"/>
          <w:highlight w:val="none"/>
          <w:lang w:val="en-US" w:eastAsia="zh-CN"/>
        </w:rPr>
        <w:t>-1</w:t>
      </w:r>
      <w:r>
        <w:rPr>
          <w:rFonts w:hint="default" w:ascii="Times New Roman" w:hAnsi="Times New Roman" w:cs="Times New Roman"/>
          <w:strike w:val="0"/>
          <w:dstrike w:val="0"/>
          <w:color w:val="auto"/>
          <w:highlight w:val="none"/>
        </w:rPr>
        <w:t xml:space="preserve">  柳州市城中区</w:t>
      </w:r>
      <w:r>
        <w:rPr>
          <w:rFonts w:hint="default" w:ascii="Times New Roman" w:hAnsi="Times New Roman" w:cs="Times New Roman"/>
          <w:strike w:val="0"/>
          <w:dstrike w:val="0"/>
          <w:color w:val="auto"/>
          <w:highlight w:val="none"/>
          <w:lang w:val="en-US" w:eastAsia="zh-CN"/>
        </w:rPr>
        <w:t>生态环境准入及管控要求</w:t>
      </w:r>
    </w:p>
    <w:tbl>
      <w:tblPr>
        <w:tblStyle w:val="15"/>
        <w:tblW w:w="14058" w:type="dxa"/>
        <w:jc w:val="center"/>
        <w:tblInd w:w="-10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907"/>
        <w:gridCol w:w="1107"/>
        <w:gridCol w:w="1080"/>
        <w:gridCol w:w="8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blHeader/>
          <w:jc w:val="center"/>
        </w:trPr>
        <w:tc>
          <w:tcPr>
            <w:tcW w:w="1315"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环境管控单元编码</w:t>
            </w:r>
          </w:p>
        </w:tc>
        <w:tc>
          <w:tcPr>
            <w:tcW w:w="1907" w:type="dxa"/>
            <w:shd w:val="clear" w:color="auto" w:fill="auto"/>
            <w:vAlign w:val="center"/>
          </w:tcPr>
          <w:p>
            <w:pPr>
              <w:pStyle w:val="29"/>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环境管控单元名称</w:t>
            </w:r>
          </w:p>
        </w:tc>
        <w:tc>
          <w:tcPr>
            <w:tcW w:w="1107"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环境管控单元类别</w:t>
            </w:r>
          </w:p>
        </w:tc>
        <w:tc>
          <w:tcPr>
            <w:tcW w:w="9729" w:type="dxa"/>
            <w:gridSpan w:val="2"/>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b/>
                <w:bCs/>
                <w:color w:val="auto"/>
                <w:highlight w:val="none"/>
                <w:lang w:val="en-US" w:eastAsia="zh-CN"/>
              </w:rPr>
              <w:t>生态环境准入及管控要求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8" w:hRule="atLeast"/>
          <w:jc w:val="center"/>
        </w:trPr>
        <w:tc>
          <w:tcPr>
            <w:tcW w:w="1315"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ZH45020210001</w:t>
            </w:r>
          </w:p>
        </w:tc>
        <w:tc>
          <w:tcPr>
            <w:tcW w:w="1907"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val="en-US" w:eastAsia="zh-CN"/>
              </w:rPr>
            </w:pPr>
            <w:r>
              <w:rPr>
                <w:rFonts w:hint="default" w:eastAsiaTheme="minorEastAsia"/>
                <w:color w:val="auto"/>
                <w:highlight w:val="none"/>
              </w:rPr>
              <w:t>广西三门江国家森林公园生态保护红线</w:t>
            </w:r>
          </w:p>
        </w:tc>
        <w:tc>
          <w:tcPr>
            <w:tcW w:w="110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cs="Times New Roman" w:eastAsiaTheme="minorEastAsia"/>
                <w:strike w:val="0"/>
                <w:dstrike w:val="0"/>
                <w:color w:val="auto"/>
                <w:kern w:val="0"/>
                <w:highlight w:val="none"/>
              </w:rPr>
              <w:t>优先保护单元</w:t>
            </w:r>
          </w:p>
        </w:tc>
        <w:tc>
          <w:tcPr>
            <w:tcW w:w="108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kern w:val="0"/>
                <w:highlight w:val="none"/>
              </w:rPr>
              <w:t>空间布局约束</w:t>
            </w:r>
          </w:p>
        </w:tc>
        <w:tc>
          <w:tcPr>
            <w:tcW w:w="8649" w:type="dxa"/>
            <w:shd w:val="clear" w:color="auto" w:fill="auto"/>
            <w:vAlign w:val="center"/>
          </w:tcPr>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核心保护区内，除满足国家特殊战略需要的有关活动外，原则上禁止人为活动；一般控制区内，除满足国家特殊战略需要的有关活动外，原则上禁止开发性、生产性建设活动，仅允许对生态功能不造成破坏的有限人为活动。</w:t>
            </w:r>
          </w:p>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eastAsia" w:eastAsiaTheme="minorEastAsia"/>
                <w:color w:val="auto"/>
                <w:highlight w:val="none"/>
                <w:lang w:eastAsia="zh-CN"/>
              </w:rPr>
              <w:t>森林公园</w:t>
            </w:r>
            <w:r>
              <w:rPr>
                <w:rFonts w:hint="default" w:eastAsiaTheme="minorEastAsia"/>
                <w:color w:val="auto"/>
                <w:highlight w:val="none"/>
              </w:rPr>
              <w:t>以及生态公益林、天然林还需执行国家、自治区以及市县相应法律法规要求。</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1" w:hRule="atLeast"/>
          <w:jc w:val="center"/>
        </w:trPr>
        <w:tc>
          <w:tcPr>
            <w:tcW w:w="1315"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ZH45020210002</w:t>
            </w:r>
          </w:p>
        </w:tc>
        <w:tc>
          <w:tcPr>
            <w:tcW w:w="1907"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柳江-黔江流域水源涵养生态保护红线</w:t>
            </w:r>
          </w:p>
        </w:tc>
        <w:tc>
          <w:tcPr>
            <w:tcW w:w="110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08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649" w:type="dxa"/>
            <w:shd w:val="clear" w:color="auto" w:fill="auto"/>
            <w:vAlign w:val="center"/>
          </w:tcPr>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在符合现行法律法规前提下，除国家重大战略项目外，仅允许对生态功能不造成破坏的有限人为活动。</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ascii="Times New Roman" w:hAnsi="Times New Roman" w:cs="Times New Roman"/>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饮用水水源保护区以及生态公益林还需执行国家、自治区以及市县相应法律法规要求。</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8" w:hRule="atLeast"/>
          <w:jc w:val="center"/>
        </w:trPr>
        <w:tc>
          <w:tcPr>
            <w:tcW w:w="1315"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ZH45020210003</w:t>
            </w:r>
          </w:p>
        </w:tc>
        <w:tc>
          <w:tcPr>
            <w:tcW w:w="1907"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rPr>
            </w:pPr>
            <w:r>
              <w:rPr>
                <w:rFonts w:hint="default" w:eastAsiaTheme="minorEastAsia"/>
                <w:color w:val="auto"/>
                <w:highlight w:val="none"/>
              </w:rPr>
              <w:t>城中区其他优先保护单元</w:t>
            </w:r>
          </w:p>
        </w:tc>
        <w:tc>
          <w:tcPr>
            <w:tcW w:w="110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08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649"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rPr>
              <w:t>国家级公益林依据《国家级公益林管理办法》（林资发〔2017〕34号）进行管理，严格控制勘查、开采矿藏和工程建设使用国家级公益林地。确需使用的，严格按照《建设项目使用林地审核审批管理办法》有关规定办理使用林地手续。涉及林木采伐的，按相关规定依法办理林木采伐手续。经审核审批同意使用的国家级公益林地，可按规定实行占补平衡。一级国家级公益林原则上不得开展生产经营活动，严禁打枝、采脂、割漆、剥树皮、掘根等行为。二级国家级公益林在不影响整体森林生态系统功能发挥的前提下，可以按照相关技术规程的规定开展抚育和更新性质的采伐。在不破坏森林植被的前提下，可以合理利用其林地资源，适度开展林下种植养殖和森林游憩等非木质资源开发与利用，科学发展林下经济。</w:t>
            </w:r>
          </w:p>
          <w:p>
            <w:pPr>
              <w:pStyle w:val="27"/>
              <w:ind w:firstLine="0" w:firstLineChars="0"/>
              <w:rPr>
                <w:rFonts w:hint="default" w:eastAsiaTheme="minorEastAsia"/>
                <w:color w:val="auto"/>
                <w:highlight w:val="none"/>
              </w:rPr>
            </w:pPr>
            <w:r>
              <w:rPr>
                <w:rFonts w:hint="default" w:eastAsiaTheme="minorEastAsia"/>
                <w:color w:val="auto"/>
                <w:highlight w:val="none"/>
                <w:lang w:val="en-US" w:eastAsia="zh-CN"/>
              </w:rPr>
              <w:t>2．</w:t>
            </w:r>
            <w:r>
              <w:rPr>
                <w:rFonts w:hint="default" w:eastAsiaTheme="minorEastAsia"/>
                <w:color w:val="auto"/>
                <w:highlight w:val="none"/>
              </w:rPr>
              <w:t>对所有</w:t>
            </w:r>
            <w:r>
              <w:rPr>
                <w:rFonts w:hint="eastAsia" w:eastAsiaTheme="minorEastAsia"/>
                <w:color w:val="auto"/>
                <w:highlight w:val="none"/>
                <w:lang w:eastAsia="zh-CN"/>
              </w:rPr>
              <w:t>天然林</w:t>
            </w:r>
            <w:r>
              <w:rPr>
                <w:rFonts w:hint="default" w:eastAsiaTheme="minorEastAsia"/>
                <w:color w:val="auto"/>
                <w:highlight w:val="none"/>
              </w:rPr>
              <w:t>实行保护，禁止毁林开垦、将天然林改造为人工林以及其他破坏天然林及其生态环境的行为。对纳入保护重点区域的天然林，除森林病虫害防治、森林防火等维护天然林生态系统健康的必要措施外，禁止其他一切生产经营活动。开展天然林抚育作业的，必须编制作业设计，经林业主管部门审查批准后实施。严格控制天然林地转为其他用途，除国防建设、国家重大工程项目建设特色需要外，禁止占用保护重点区域的天然林地。在不破坏地表植被、不影响生物多样性保护前提下，可在天然林地适度发展生态旅游、休闲康养、特色种植养殖产业。</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eastAsiaTheme="minorEastAsia"/>
                <w:color w:val="auto"/>
                <w:highlight w:val="none"/>
                <w:lang w:val="en-US" w:eastAsia="zh-CN"/>
              </w:rPr>
              <w:t>大气一类功能区</w:t>
            </w:r>
            <w:r>
              <w:rPr>
                <w:rFonts w:hint="default" w:eastAsiaTheme="minorEastAsia"/>
                <w:color w:val="auto"/>
                <w:highlight w:val="none"/>
              </w:rPr>
              <w:t>禁止新建、改建、扩建排放大气污染物的工业企业；筛查大气</w:t>
            </w:r>
            <w:r>
              <w:rPr>
                <w:rFonts w:hint="default" w:eastAsiaTheme="minorEastAsia"/>
                <w:color w:val="auto"/>
                <w:highlight w:val="none"/>
                <w:lang w:eastAsia="zh-CN"/>
              </w:rPr>
              <w:t>一类功能区</w:t>
            </w:r>
            <w:r>
              <w:rPr>
                <w:rFonts w:hint="default" w:eastAsiaTheme="minorEastAsia"/>
                <w:color w:val="auto"/>
                <w:highlight w:val="none"/>
              </w:rPr>
              <w:t>是否存在大气污染物排放工业企业，对区域内已建涉大气污染物排放企业限期搬迁或依法关闭。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1" w:hRule="atLeast"/>
          <w:jc w:val="center"/>
        </w:trPr>
        <w:tc>
          <w:tcPr>
            <w:tcW w:w="1315"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ZH45020220001</w:t>
            </w:r>
          </w:p>
        </w:tc>
        <w:tc>
          <w:tcPr>
            <w:tcW w:w="1907"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城中区城镇空间重点管控单元</w:t>
            </w:r>
          </w:p>
        </w:tc>
        <w:tc>
          <w:tcPr>
            <w:tcW w:w="1107"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08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649" w:type="dxa"/>
            <w:shd w:val="clear" w:color="auto" w:fill="auto"/>
            <w:vAlign w:val="center"/>
          </w:tcPr>
          <w:p>
            <w:pPr>
              <w:pStyle w:val="27"/>
              <w:keepNext w:val="0"/>
              <w:keepLines w:val="0"/>
              <w:suppressLineNumbers w:val="0"/>
              <w:spacing w:before="0" w:beforeAutospacing="0" w:after="0" w:afterAutospacing="0"/>
              <w:ind w:left="0" w:right="0"/>
              <w:rPr>
                <w:rFonts w:hint="default" w:cs="Times New Roman" w:eastAsiaTheme="minorEastAsia"/>
                <w:strike w:val="0"/>
                <w:dstrike w:val="0"/>
                <w:color w:val="auto"/>
                <w:highlight w:val="none"/>
                <w:lang w:val="en-US" w:eastAsia="zh-CN"/>
              </w:rPr>
            </w:pPr>
            <w:r>
              <w:rPr>
                <w:rFonts w:hint="eastAsia"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．城市建成区内的钢铁、石油、化工、有色金属、水泥、平板玻璃、建筑陶瓷、砖瓦等行业中的高排放、高污染项目，应当逐步进行搬迁、改造或者转型、退出。</w:t>
            </w:r>
          </w:p>
          <w:p>
            <w:pPr>
              <w:pStyle w:val="27"/>
              <w:keepNext w:val="0"/>
              <w:keepLines w:val="0"/>
              <w:suppressLineNumbers w:val="0"/>
              <w:spacing w:before="0" w:beforeAutospacing="0" w:after="0" w:afterAutospacing="0"/>
              <w:ind w:left="0" w:right="0"/>
              <w:rPr>
                <w:rFonts w:hint="default" w:eastAsiaTheme="minorEastAsia"/>
                <w:color w:val="auto"/>
                <w:highlight w:val="none"/>
                <w:lang w:val="en-US" w:eastAsia="zh-CN"/>
              </w:rPr>
            </w:pPr>
            <w:r>
              <w:rPr>
                <w:rFonts w:hint="eastAsia"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．城市市区、镇和村庄居民区、文化教育科学研究区等人口集中区域禁止设置畜禽养殖场、养殖小区。</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与饮用水水源保护区二级保护区重叠部分依据《广西壮族自治区饮用水水源保护条例》进行管理。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1" w:hRule="atLeast"/>
          <w:jc w:val="center"/>
        </w:trPr>
        <w:tc>
          <w:tcPr>
            <w:tcW w:w="1315"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07"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0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08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649" w:type="dxa"/>
            <w:shd w:val="clear" w:color="auto" w:fill="auto"/>
            <w:vAlign w:val="center"/>
          </w:tcPr>
          <w:p>
            <w:pPr>
              <w:pStyle w:val="27"/>
              <w:keepNext w:val="0"/>
              <w:keepLines w:val="0"/>
              <w:suppressLineNumbers w:val="0"/>
              <w:spacing w:before="0" w:beforeAutospacing="0" w:after="0" w:afterAutospacing="0"/>
              <w:ind w:left="0" w:right="0"/>
              <w:rPr>
                <w:rFonts w:hint="default" w:eastAsiaTheme="minorEastAsia"/>
                <w:color w:val="auto"/>
                <w:highlight w:val="none"/>
                <w:lang w:val="en-US" w:eastAsia="zh-CN"/>
              </w:rPr>
            </w:pPr>
            <w:r>
              <w:rPr>
                <w:rFonts w:hint="default" w:eastAsiaTheme="minorEastAsia"/>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lang w:val="en-US" w:eastAsia="zh-CN"/>
              </w:rPr>
              <w:t>加大燃煤小锅炉淘汰力度。依法依规加快淘汰老旧柴油货车。严格控制施工和道路扬尘污染。禁止露天焚烧</w:t>
            </w:r>
            <w:r>
              <w:rPr>
                <w:rFonts w:hint="default" w:ascii="Times New Roman" w:hAnsi="Times New Roman" w:cs="Times New Roman" w:eastAsiaTheme="minorEastAsia"/>
                <w:strike w:val="0"/>
                <w:dstrike w:val="0"/>
                <w:color w:val="auto"/>
                <w:highlight w:val="none"/>
                <w:lang w:val="en-US" w:eastAsia="zh-CN"/>
              </w:rPr>
              <w:t>产生</w:t>
            </w:r>
            <w:r>
              <w:rPr>
                <w:rFonts w:hint="default" w:eastAsiaTheme="minorEastAsia"/>
                <w:color w:val="auto"/>
                <w:highlight w:val="none"/>
                <w:lang w:val="en-US" w:eastAsia="zh-CN"/>
              </w:rPr>
              <w:t>有毒有害烟尘和恶臭气体的物质。鼓励建筑装修、汽修喷涂作业、干洗等行业，使用低毒、低挥发性溶剂。</w:t>
            </w:r>
          </w:p>
          <w:p>
            <w:pPr>
              <w:pStyle w:val="27"/>
              <w:keepNext w:val="0"/>
              <w:keepLines w:val="0"/>
              <w:suppressLineNumbers w:val="0"/>
              <w:spacing w:before="0" w:beforeAutospacing="0" w:after="0" w:afterAutospacing="0"/>
              <w:ind w:left="0" w:right="0"/>
              <w:rPr>
                <w:rFonts w:hint="default" w:eastAsiaTheme="minorEastAsia"/>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cs="Times New Roman" w:eastAsiaTheme="minorEastAsia"/>
                <w:strike w:val="0"/>
                <w:dstrike w:val="0"/>
                <w:color w:val="auto"/>
                <w:highlight w:val="none"/>
                <w:lang w:eastAsia="zh-CN"/>
              </w:rPr>
              <w:t>城市建成区基本</w:t>
            </w:r>
            <w:r>
              <w:rPr>
                <w:rFonts w:hint="default" w:ascii="Times New Roman" w:hAnsi="Times New Roman" w:cs="Times New Roman" w:eastAsiaTheme="minorEastAsia"/>
                <w:strike w:val="0"/>
                <w:dstrike w:val="0"/>
                <w:color w:val="auto"/>
                <w:highlight w:val="none"/>
                <w:lang w:eastAsia="zh-CN"/>
              </w:rPr>
              <w:t>消除生活污水直排口，有效杜绝污水直排水体。</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．提高污水处理能力，完善既有污水处理厂和新建、扩建污水处理厂配套管网建设，基本实现城中村、老旧城区和城乡结合部生活污水收集处理</w:t>
            </w:r>
            <w:r>
              <w:rPr>
                <w:rFonts w:hint="default" w:ascii="Times New Roman" w:hAnsi="Times New Roman" w:cs="Times New Roman" w:eastAsiaTheme="minorEastAsia"/>
                <w:strike w:val="0"/>
                <w:dstrike w:val="0"/>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0" w:hRule="atLeast"/>
          <w:jc w:val="center"/>
        </w:trPr>
        <w:tc>
          <w:tcPr>
            <w:tcW w:w="1315"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07"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0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08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649"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lang w:val="en-US" w:eastAsia="zh-CN"/>
              </w:rPr>
              <w:t>对暂</w:t>
            </w:r>
            <w:r>
              <w:rPr>
                <w:rFonts w:hint="default" w:ascii="Times New Roman" w:hAnsi="Times New Roman" w:cs="Times New Roman" w:eastAsiaTheme="minorEastAsia"/>
                <w:strike w:val="0"/>
                <w:dstrike w:val="0"/>
                <w:color w:val="auto"/>
                <w:highlight w:val="none"/>
                <w:lang w:val="en-US" w:eastAsia="zh-CN"/>
              </w:rPr>
              <w:t>不开发利用的污染地块，实施以防止污染扩散为目的的风险管控；对拟开发利用为居住用地和商业、学校、医疗、养老机构等公共设施用地的污染地块，实施以安全利用为目的的风险管控。</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列入建设用地土壤污染风险管控和修复名录的地块，不得作为住宅、公共管理与公共服务用地，应当采取风险管控措施或实施修复。对达到土壤污染风险评估报告确定的风险管控、修复目标的建设用地地块，土壤污染责任人、土地使用权人可以向自治区人民政府生态环境主管部门申请移出建设用地土壤污染风险管控和修复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4" w:hRule="atLeast"/>
          <w:jc w:val="center"/>
        </w:trPr>
        <w:tc>
          <w:tcPr>
            <w:tcW w:w="1315"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07"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0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08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eastAsia="zh-CN"/>
              </w:rPr>
            </w:pPr>
            <w:r>
              <w:rPr>
                <w:rFonts w:hint="default" w:cs="Times New Roman" w:eastAsiaTheme="minorEastAsia"/>
                <w:strike w:val="0"/>
                <w:dstrike w:val="0"/>
                <w:color w:val="auto"/>
                <w:highlight w:val="none"/>
                <w:lang w:eastAsia="zh-CN"/>
              </w:rPr>
              <w:t>资源开发利用效率要求</w:t>
            </w:r>
          </w:p>
        </w:tc>
        <w:tc>
          <w:tcPr>
            <w:tcW w:w="8649"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lang w:val="en-US" w:eastAsia="zh-CN"/>
              </w:rPr>
              <w:t>禁燃区内禁止销售、使用原煤等高污染燃料，</w:t>
            </w:r>
            <w:r>
              <w:rPr>
                <w:rFonts w:hint="default" w:ascii="Times New Roman" w:hAnsi="Times New Roman" w:cs="Times New Roman" w:eastAsiaTheme="minorEastAsia"/>
                <w:strike w:val="0"/>
                <w:dstrike w:val="0"/>
                <w:color w:val="auto"/>
                <w:highlight w:val="none"/>
                <w:lang w:val="en-US" w:eastAsia="zh-CN"/>
              </w:rPr>
              <w:t>现有</w:t>
            </w:r>
            <w:r>
              <w:rPr>
                <w:rFonts w:hint="default" w:eastAsiaTheme="minorEastAsia"/>
                <w:color w:val="auto"/>
                <w:highlight w:val="none"/>
                <w:lang w:val="en-US" w:eastAsia="zh-CN"/>
              </w:rPr>
              <w:t>燃用高污染燃料的设施应在规定期限内停止燃用高污染燃料，改用天然气、液化石油气、电</w:t>
            </w:r>
            <w:r>
              <w:rPr>
                <w:rFonts w:hint="default" w:ascii="Times New Roman" w:hAnsi="Times New Roman" w:cs="Times New Roman" w:eastAsiaTheme="minorEastAsia"/>
                <w:strike w:val="0"/>
                <w:dstrike w:val="0"/>
                <w:color w:val="auto"/>
                <w:highlight w:val="none"/>
                <w:lang w:val="en-US" w:eastAsia="zh-CN"/>
              </w:rPr>
              <w:t>或者其他清洁能源，其余按照《柳州市人民政府关于划定柳州市高污染燃料禁燃区的通告》要求实施管理</w:t>
            </w:r>
            <w:r>
              <w:rPr>
                <w:rFonts w:hint="default" w:eastAsiaTheme="minorEastAsia"/>
                <w:color w:val="auto"/>
                <w:highlight w:val="none"/>
                <w:lang w:val="en-US" w:eastAsia="zh-CN"/>
              </w:rPr>
              <w:t>。</w:t>
            </w:r>
          </w:p>
        </w:tc>
      </w:tr>
    </w:tbl>
    <w:p>
      <w:pPr>
        <w:widowControl/>
        <w:jc w:val="left"/>
        <w:rPr>
          <w:rFonts w:hint="default" w:ascii="Times New Roman" w:hAnsi="Times New Roman" w:cs="Times New Roman"/>
          <w:strike w:val="0"/>
          <w:dstrike w:val="0"/>
          <w:color w:val="auto"/>
          <w:highlight w:val="none"/>
        </w:rPr>
      </w:pPr>
      <w:r>
        <w:rPr>
          <w:rFonts w:hint="default" w:ascii="Times New Roman" w:hAnsi="Times New Roman" w:cs="Times New Roman"/>
          <w:strike w:val="0"/>
          <w:dstrike w:val="0"/>
          <w:color w:val="auto"/>
          <w:highlight w:val="none"/>
        </w:rPr>
        <w:br w:type="page"/>
      </w:r>
    </w:p>
    <w:p>
      <w:pPr>
        <w:pStyle w:val="3"/>
        <w:rPr>
          <w:rFonts w:hint="default" w:ascii="Times New Roman" w:hAnsi="Times New Roman" w:cs="Times New Roman"/>
          <w:color w:val="auto"/>
          <w:highlight w:val="none"/>
        </w:rPr>
      </w:pPr>
      <w:bookmarkStart w:id="16" w:name="_Toc22529"/>
      <w:bookmarkStart w:id="17" w:name="_Toc22905"/>
      <w:bookmarkStart w:id="18" w:name="_Toc12620"/>
      <w:bookmarkStart w:id="19" w:name="_Toc9840"/>
      <w:bookmarkStart w:id="20" w:name="_Toc16378"/>
      <w:bookmarkStart w:id="21" w:name="_Toc27601842"/>
      <w:bookmarkStart w:id="22" w:name="_Toc31379"/>
      <w:bookmarkStart w:id="23" w:name="_Toc2614"/>
      <w:bookmarkStart w:id="24" w:name="_Toc17915"/>
      <w:bookmarkStart w:id="25" w:name="_Toc21313"/>
      <w:bookmarkStart w:id="26" w:name="_Toc18053"/>
      <w:r>
        <w:rPr>
          <w:rFonts w:hint="default"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rPr>
        <w:t>鱼峰区</w:t>
      </w:r>
      <w:bookmarkEnd w:id="16"/>
      <w:bookmarkEnd w:id="17"/>
      <w:bookmarkEnd w:id="18"/>
      <w:bookmarkEnd w:id="19"/>
      <w:bookmarkEnd w:id="20"/>
      <w:bookmarkEnd w:id="21"/>
      <w:bookmarkEnd w:id="22"/>
      <w:bookmarkEnd w:id="23"/>
      <w:bookmarkEnd w:id="24"/>
      <w:bookmarkEnd w:id="25"/>
      <w:bookmarkEnd w:id="26"/>
    </w:p>
    <w:p>
      <w:pPr>
        <w:pStyle w:val="25"/>
        <w:rPr>
          <w:rFonts w:hint="default" w:ascii="Times New Roman" w:hAnsi="Times New Roman" w:cs="Times New Roman"/>
          <w:strike w:val="0"/>
          <w:dstrike w:val="0"/>
          <w:color w:val="auto"/>
          <w:highlight w:val="none"/>
        </w:rPr>
      </w:pPr>
      <w:r>
        <w:rPr>
          <w:rFonts w:hint="default" w:ascii="Times New Roman" w:hAnsi="Times New Roman" w:cs="Times New Roman"/>
          <w:strike w:val="0"/>
          <w:dstrike w:val="0"/>
          <w:color w:val="auto"/>
          <w:highlight w:val="none"/>
        </w:rPr>
        <w:t>表</w:t>
      </w:r>
      <w:r>
        <w:rPr>
          <w:rFonts w:hint="default" w:ascii="Times New Roman" w:hAnsi="Times New Roman" w:cs="Times New Roman"/>
          <w:strike w:val="0"/>
          <w:dstrike w:val="0"/>
          <w:color w:val="auto"/>
          <w:highlight w:val="none"/>
          <w:lang w:val="en-US" w:eastAsia="zh-CN"/>
        </w:rPr>
        <w:t xml:space="preserve">2-1 </w:t>
      </w:r>
      <w:r>
        <w:rPr>
          <w:rFonts w:hint="default" w:ascii="Times New Roman" w:hAnsi="Times New Roman" w:cs="Times New Roman"/>
          <w:strike w:val="0"/>
          <w:dstrike w:val="0"/>
          <w:color w:val="auto"/>
          <w:highlight w:val="none"/>
        </w:rPr>
        <w:t>柳州市鱼峰区</w:t>
      </w:r>
      <w:r>
        <w:rPr>
          <w:rFonts w:hint="default" w:ascii="Times New Roman" w:hAnsi="Times New Roman" w:cs="Times New Roman"/>
          <w:strike w:val="0"/>
          <w:dstrike w:val="0"/>
          <w:color w:val="auto"/>
          <w:highlight w:val="none"/>
          <w:lang w:val="en-US" w:eastAsia="zh-CN"/>
        </w:rPr>
        <w:t>生态环境准入及管控要求</w:t>
      </w:r>
    </w:p>
    <w:tbl>
      <w:tblPr>
        <w:tblStyle w:val="15"/>
        <w:tblW w:w="14056" w:type="dxa"/>
        <w:jc w:val="center"/>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2040"/>
        <w:gridCol w:w="1134"/>
        <w:gridCol w:w="1200"/>
        <w:gridCol w:w="8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blHeader/>
          <w:jc w:val="center"/>
        </w:trPr>
        <w:tc>
          <w:tcPr>
            <w:tcW w:w="1314"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环境管控单元编码</w:t>
            </w:r>
          </w:p>
        </w:tc>
        <w:tc>
          <w:tcPr>
            <w:tcW w:w="2040" w:type="dxa"/>
            <w:shd w:val="clear" w:color="auto" w:fill="auto"/>
            <w:vAlign w:val="center"/>
          </w:tcPr>
          <w:p>
            <w:pPr>
              <w:pStyle w:val="29"/>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环境管控单元名称</w:t>
            </w:r>
          </w:p>
        </w:tc>
        <w:tc>
          <w:tcPr>
            <w:tcW w:w="1134"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环境管控单元类别</w:t>
            </w:r>
          </w:p>
        </w:tc>
        <w:tc>
          <w:tcPr>
            <w:tcW w:w="9568" w:type="dxa"/>
            <w:gridSpan w:val="2"/>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b/>
                <w:bCs/>
                <w:color w:val="auto"/>
                <w:highlight w:val="none"/>
                <w:lang w:val="en-US" w:eastAsia="zh-CN"/>
              </w:rPr>
              <w:t>生态环境准入及管控要求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1" w:hRule="atLeast"/>
          <w:jc w:val="center"/>
        </w:trPr>
        <w:tc>
          <w:tcPr>
            <w:tcW w:w="131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ZH45020310001</w:t>
            </w:r>
          </w:p>
        </w:tc>
        <w:tc>
          <w:tcPr>
            <w:tcW w:w="204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val="en-US" w:eastAsia="zh-CN"/>
              </w:rPr>
            </w:pPr>
            <w:r>
              <w:rPr>
                <w:rFonts w:hint="default" w:eastAsiaTheme="minorEastAsia"/>
                <w:color w:val="auto"/>
                <w:highlight w:val="none"/>
              </w:rPr>
              <w:t>广西三门江国家森林公园生态保护红线</w:t>
            </w:r>
          </w:p>
        </w:tc>
        <w:tc>
          <w:tcPr>
            <w:tcW w:w="113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cs="Times New Roman" w:eastAsiaTheme="minorEastAsia"/>
                <w:strike w:val="0"/>
                <w:dstrike w:val="0"/>
                <w:color w:val="auto"/>
                <w:kern w:val="0"/>
                <w:highlight w:val="none"/>
              </w:rPr>
              <w:t>优先保护单元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kern w:val="0"/>
                <w:highlight w:val="none"/>
              </w:rPr>
              <w:t>空间布局约束</w:t>
            </w:r>
          </w:p>
        </w:tc>
        <w:tc>
          <w:tcPr>
            <w:tcW w:w="8368" w:type="dxa"/>
            <w:shd w:val="clear" w:color="auto" w:fill="auto"/>
            <w:vAlign w:val="center"/>
          </w:tcPr>
          <w:p>
            <w:pPr>
              <w:keepNext w:val="0"/>
              <w:keepLines w:val="0"/>
              <w:suppressLineNumbers w:val="0"/>
              <w:adjustRightInd w:val="0"/>
              <w:snapToGrid w:val="0"/>
              <w:spacing w:before="0" w:beforeAutospacing="0" w:after="0" w:afterAutospacing="0"/>
              <w:ind w:left="0" w:right="0"/>
              <w:jc w:val="left"/>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keepNext w:val="0"/>
              <w:keepLines w:val="0"/>
              <w:suppressLineNumbers w:val="0"/>
              <w:adjustRightInd w:val="0"/>
              <w:snapToGrid w:val="0"/>
              <w:spacing w:before="0" w:beforeAutospacing="0" w:after="0" w:afterAutospacing="0"/>
              <w:ind w:left="0" w:right="0"/>
              <w:jc w:val="left"/>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eastAsiaTheme="minorEastAsia"/>
                <w:color w:val="auto"/>
                <w:highlight w:val="none"/>
              </w:rPr>
              <w:t>核心保护区内，除满足国家特殊战略需要的有关活动外，原则上禁止人为活动；一般控制区内，除满足国家特殊战略需要的有关活动外，原则上禁止开发性、生产性建设活动，仅允许对生态功能不造成破坏的有限人为活动。</w:t>
            </w:r>
          </w:p>
          <w:p>
            <w:pPr>
              <w:keepNext w:val="0"/>
              <w:keepLines w:val="0"/>
              <w:suppressLineNumbers w:val="0"/>
              <w:adjustRightInd w:val="0"/>
              <w:snapToGrid w:val="0"/>
              <w:spacing w:before="0" w:beforeAutospacing="0" w:after="0" w:afterAutospacing="0"/>
              <w:ind w:left="0" w:right="0"/>
              <w:jc w:val="left"/>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3</w:t>
            </w:r>
            <w:r>
              <w:rPr>
                <w:rFonts w:hint="default" w:ascii="Times New Roman" w:hAnsi="Times New Roman" w:cs="Times New Roman"/>
                <w:color w:val="auto"/>
                <w:highlight w:val="none"/>
                <w:lang w:eastAsia="zh-CN"/>
              </w:rPr>
              <w:t>．</w:t>
            </w:r>
            <w:r>
              <w:rPr>
                <w:rFonts w:hint="default" w:ascii="Times New Roman" w:hAnsi="Times New Roman" w:cs="Times New Roman" w:eastAsiaTheme="minorEastAsia"/>
                <w:color w:val="auto"/>
                <w:highlight w:val="none"/>
              </w:rPr>
              <w:t>前述所列有限人为活动按照《中共中央办公厅 国务院办公厅印发＜关于在国土空间规划中统筹划定落实三条控制线的指导意见＞》和</w:t>
            </w:r>
            <w:r>
              <w:rPr>
                <w:rFonts w:hint="eastAsia" w:ascii="Times New Roman" w:hAnsi="Times New Roman" w:cs="Times New Roman"/>
                <w:color w:val="auto"/>
                <w:highlight w:val="none"/>
                <w:lang w:eastAsia="zh-CN"/>
              </w:rPr>
              <w:t>自治区级</w:t>
            </w:r>
            <w:r>
              <w:rPr>
                <w:rFonts w:hint="default" w:ascii="Times New Roman" w:hAnsi="Times New Roman" w:cs="Times New Roman" w:eastAsiaTheme="minorEastAsia"/>
                <w:color w:val="auto"/>
                <w:highlight w:val="none"/>
              </w:rPr>
              <w:t>环境管控及准入要求清单进行。</w:t>
            </w:r>
          </w:p>
          <w:p>
            <w:pPr>
              <w:keepNext w:val="0"/>
              <w:keepLines w:val="0"/>
              <w:suppressLineNumbers w:val="0"/>
              <w:adjustRightInd w:val="0"/>
              <w:snapToGrid w:val="0"/>
              <w:spacing w:before="0" w:beforeAutospacing="0" w:after="0" w:afterAutospacing="0"/>
              <w:ind w:left="0" w:right="0"/>
              <w:jc w:val="left"/>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4</w:t>
            </w:r>
            <w:r>
              <w:rPr>
                <w:rFonts w:hint="default" w:ascii="Times New Roman" w:hAnsi="Times New Roman" w:cs="Times New Roman"/>
                <w:color w:val="auto"/>
                <w:highlight w:val="none"/>
                <w:lang w:eastAsia="zh-CN"/>
              </w:rPr>
              <w:t>．</w:t>
            </w:r>
            <w:r>
              <w:rPr>
                <w:rFonts w:hint="default" w:ascii="Times New Roman" w:hAnsi="Times New Roman" w:cs="Times New Roman" w:eastAsiaTheme="minorEastAsia"/>
                <w:color w:val="auto"/>
                <w:highlight w:val="none"/>
              </w:rPr>
              <w:t>森林公园以及生态公益林、天然林还需执行国家、自治区以及市县相应法律法规要求。</w:t>
            </w:r>
          </w:p>
          <w:p>
            <w:pPr>
              <w:keepNext w:val="0"/>
              <w:keepLines w:val="0"/>
              <w:suppressLineNumbers w:val="0"/>
              <w:adjustRightInd w:val="0"/>
              <w:snapToGrid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color w:val="auto"/>
                <w:highlight w:val="none"/>
              </w:rPr>
              <w:t>5</w:t>
            </w:r>
            <w:r>
              <w:rPr>
                <w:rFonts w:hint="default" w:ascii="Times New Roman" w:hAnsi="Times New Roman" w:cs="Times New Roman"/>
                <w:color w:val="auto"/>
                <w:highlight w:val="none"/>
                <w:lang w:eastAsia="zh-CN"/>
              </w:rPr>
              <w:t>．</w:t>
            </w:r>
            <w:r>
              <w:rPr>
                <w:rFonts w:hint="default" w:ascii="Times New Roman" w:hAnsi="Times New Roman" w:cs="Times New Roman"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4" w:hRule="atLeast"/>
          <w:jc w:val="center"/>
        </w:trPr>
        <w:tc>
          <w:tcPr>
            <w:tcW w:w="131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ZH45020310002</w:t>
            </w:r>
          </w:p>
        </w:tc>
        <w:tc>
          <w:tcPr>
            <w:tcW w:w="204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柳江-黔江流域水源涵养生态保护红线</w:t>
            </w:r>
          </w:p>
        </w:tc>
        <w:tc>
          <w:tcPr>
            <w:tcW w:w="113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68" w:type="dxa"/>
            <w:shd w:val="clear" w:color="auto" w:fill="auto"/>
            <w:vAlign w:val="center"/>
          </w:tcPr>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eastAsiaTheme="minorEastAsia"/>
                <w:color w:val="auto"/>
                <w:highlight w:val="none"/>
              </w:rPr>
              <w:t>在符合现行法律法规前提下，除国家重大战略项目外，仅允许对生态功能不造成破坏的有限人为活动。</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3</w:t>
            </w:r>
            <w:r>
              <w:rPr>
                <w:rFonts w:hint="default" w:ascii="Times New Roman" w:hAnsi="Times New Roman" w:cs="Times New Roman"/>
                <w:color w:val="auto"/>
                <w:highlight w:val="none"/>
                <w:lang w:eastAsia="zh-CN"/>
              </w:rPr>
              <w:t>．</w:t>
            </w:r>
            <w:r>
              <w:rPr>
                <w:rFonts w:hint="default" w:ascii="Times New Roman" w:hAnsi="Times New Roman" w:cs="Times New Roman" w:eastAsiaTheme="minorEastAsia"/>
                <w:color w:val="auto"/>
                <w:highlight w:val="none"/>
              </w:rPr>
              <w:t>前述所列有限人为活动按照《中共中央办公厅 国务院办公厅印发＜关于在国土空间规划中统筹划定落实三条控制线的指导意见＞》和</w:t>
            </w:r>
            <w:r>
              <w:rPr>
                <w:rFonts w:hint="eastAsia" w:ascii="Times New Roman" w:hAnsi="Times New Roman" w:cs="Times New Roman"/>
                <w:color w:val="auto"/>
                <w:highlight w:val="none"/>
                <w:lang w:eastAsia="zh-CN"/>
              </w:rPr>
              <w:t>自治区级</w:t>
            </w:r>
            <w:r>
              <w:rPr>
                <w:rFonts w:hint="default" w:ascii="Times New Roman" w:hAnsi="Times New Roman" w:cs="Times New Roman" w:eastAsiaTheme="minorEastAsia"/>
                <w:color w:val="auto"/>
                <w:highlight w:val="none"/>
              </w:rPr>
              <w:t>环境管控及准入要求清单进行。</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4</w:t>
            </w:r>
            <w:r>
              <w:rPr>
                <w:rFonts w:hint="default" w:ascii="Times New Roman" w:hAnsi="Times New Roman" w:cs="Times New Roman"/>
                <w:color w:val="auto"/>
                <w:highlight w:val="none"/>
                <w:lang w:eastAsia="zh-CN"/>
              </w:rPr>
              <w:t>．</w:t>
            </w:r>
            <w:r>
              <w:rPr>
                <w:rFonts w:hint="default" w:ascii="Times New Roman" w:hAnsi="Times New Roman" w:cs="Times New Roman" w:eastAsiaTheme="minorEastAsia"/>
                <w:color w:val="auto"/>
                <w:highlight w:val="none"/>
              </w:rPr>
              <w:t>饮用水水源保护区以及生态公益林、天然林还需执行国家、自治区以及市县相应法律法规要求。</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color w:val="auto"/>
                <w:highlight w:val="none"/>
              </w:rPr>
              <w:t>5</w:t>
            </w:r>
            <w:r>
              <w:rPr>
                <w:rFonts w:hint="default" w:ascii="Times New Roman" w:hAnsi="Times New Roman" w:cs="Times New Roman"/>
                <w:color w:val="auto"/>
                <w:highlight w:val="none"/>
                <w:lang w:eastAsia="zh-CN"/>
              </w:rPr>
              <w:t>．</w:t>
            </w:r>
            <w:r>
              <w:rPr>
                <w:rFonts w:hint="default" w:ascii="Times New Roman" w:hAnsi="Times New Roman" w:cs="Times New Roman"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jc w:val="center"/>
        </w:trPr>
        <w:tc>
          <w:tcPr>
            <w:tcW w:w="131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val="en-US" w:eastAsia="zh-CN"/>
              </w:rPr>
            </w:pPr>
            <w:r>
              <w:rPr>
                <w:rFonts w:hint="default" w:eastAsiaTheme="minorEastAsia"/>
                <w:color w:val="auto"/>
                <w:highlight w:val="none"/>
              </w:rPr>
              <w:t>ZH45020310003</w:t>
            </w:r>
          </w:p>
        </w:tc>
        <w:tc>
          <w:tcPr>
            <w:tcW w:w="204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val="en-US" w:eastAsia="zh-CN"/>
              </w:rPr>
            </w:pPr>
            <w:r>
              <w:rPr>
                <w:rFonts w:hint="default" w:eastAsiaTheme="minorEastAsia"/>
                <w:color w:val="auto"/>
                <w:highlight w:val="none"/>
              </w:rPr>
              <w:t>鱼峰区其他优先保护单元</w:t>
            </w:r>
          </w:p>
        </w:tc>
        <w:tc>
          <w:tcPr>
            <w:tcW w:w="1134" w:type="dxa"/>
            <w:shd w:val="clear" w:color="auto" w:fill="auto"/>
            <w:vAlign w:val="center"/>
          </w:tcPr>
          <w:p>
            <w:pPr>
              <w:pStyle w:val="14"/>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eastAsia="宋体" w:cs="Times New Roman"/>
                <w:strike w:val="0"/>
                <w:dstrike w:val="0"/>
                <w:color w:val="auto"/>
                <w:kern w:val="2"/>
                <w:sz w:val="21"/>
                <w:szCs w:val="21"/>
                <w:highlight w:val="none"/>
                <w:lang w:val="en-US" w:eastAsia="zh-CN" w:bidi="ar"/>
              </w:rPr>
              <w:t>优先保护单元</w:t>
            </w:r>
          </w:p>
        </w:tc>
        <w:tc>
          <w:tcPr>
            <w:tcW w:w="1200" w:type="dxa"/>
            <w:shd w:val="clear" w:color="auto" w:fill="auto"/>
            <w:vAlign w:val="center"/>
          </w:tcPr>
          <w:p>
            <w:pPr>
              <w:pStyle w:val="14"/>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kern w:val="2"/>
                <w:sz w:val="21"/>
                <w:szCs w:val="21"/>
                <w:highlight w:val="none"/>
                <w:lang w:val="en-US" w:eastAsia="zh-CN" w:bidi="ar"/>
              </w:rPr>
              <w:t>空间布局约束</w:t>
            </w:r>
          </w:p>
        </w:tc>
        <w:tc>
          <w:tcPr>
            <w:tcW w:w="8368" w:type="dxa"/>
            <w:shd w:val="clear" w:color="auto" w:fill="auto"/>
            <w:vAlign w:val="center"/>
          </w:tcPr>
          <w:p>
            <w:pPr>
              <w:pStyle w:val="27"/>
              <w:ind w:firstLine="0" w:firstLineChars="0"/>
              <w:rPr>
                <w:rFonts w:hint="default" w:eastAsia="宋体"/>
                <w:color w:val="auto"/>
                <w:highlight w:val="none"/>
              </w:rPr>
            </w:pPr>
            <w:r>
              <w:rPr>
                <w:rFonts w:hint="default"/>
                <w:color w:val="auto"/>
                <w:highlight w:val="none"/>
              </w:rPr>
              <w:t>1</w:t>
            </w:r>
            <w:r>
              <w:rPr>
                <w:rFonts w:hint="default"/>
                <w:color w:val="auto"/>
                <w:highlight w:val="none"/>
                <w:lang w:eastAsia="zh-CN"/>
              </w:rPr>
              <w:t>．除符合国土空间规划建设和布局要求，以及市级以上矿产资源总体规划、能源开发利用规划、线性工程规划外，原则上按限制开发区域的要求进行管理。</w:t>
            </w:r>
          </w:p>
          <w:p>
            <w:pPr>
              <w:pStyle w:val="27"/>
              <w:ind w:firstLine="0" w:firstLineChars="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矿产资源开发活动、新能源建设项目以及线性工程项目等要符合法律法规以及主体功能区规划、生态功能区划、环境保护总体规划、行业规划等规划要求，不得破坏生态、降低环境质量。要优化项目选址布局，严格控制开采量和开采区域，减少对生态空间的占用，不影响区域主导生态功能。要采取更加严格和有效的预防和保护措施，避免和减轻开发活动造成的生态破坏和环境污染。要严格落实项目环评的跟踪监测计划，项目开采（开工）、闭矿、跟踪监测要及时向所在地生态环境部门进行报备。加强矿山开采项目及其闭矿的环保督察，开展矿山区域生态环境质量飞行抽检。乡村振兴项目建设的审批简化和豁免要符合有关规定，不得影响区域主导生态功能、降低区域生态环境质量。</w:t>
            </w:r>
          </w:p>
          <w:p>
            <w:pPr>
              <w:pStyle w:val="27"/>
              <w:ind w:firstLine="0" w:firstLineChars="0"/>
              <w:rPr>
                <w:rFonts w:hint="default"/>
                <w:color w:val="auto"/>
                <w:highlight w:val="none"/>
                <w:lang w:val="en-US" w:eastAsia="zh-CN"/>
              </w:rPr>
            </w:pPr>
            <w:r>
              <w:rPr>
                <w:rFonts w:hint="default" w:eastAsiaTheme="minorEastAsia"/>
                <w:color w:val="auto"/>
                <w:highlight w:val="none"/>
                <w:lang w:val="en-US" w:eastAsia="zh-CN"/>
              </w:rPr>
              <w:t>3．</w:t>
            </w:r>
            <w:r>
              <w:rPr>
                <w:rFonts w:hint="default" w:eastAsiaTheme="minorEastAsia"/>
                <w:color w:val="auto"/>
                <w:highlight w:val="none"/>
              </w:rPr>
              <w:t>（极）重度石漠化区</w:t>
            </w:r>
            <w:r>
              <w:rPr>
                <w:rFonts w:hint="default" w:eastAsiaTheme="minorEastAsia"/>
                <w:color w:val="auto"/>
                <w:highlight w:val="none"/>
                <w:lang w:eastAsia="zh-CN"/>
              </w:rPr>
              <w:t>内</w:t>
            </w:r>
            <w:r>
              <w:rPr>
                <w:rFonts w:hint="default" w:eastAsiaTheme="minorEastAsia"/>
                <w:color w:val="auto"/>
                <w:highlight w:val="none"/>
              </w:rPr>
              <w:t>严禁陡坡垦殖、过度放牧、乱砍滥伐树木等损害水土保持功能的活动。禁止在崩塌、滑坡危险区和泥石流易发区从事取土、挖砂、采石等可能造成水土流失的活动。控制人为造成新增水土流失的资源开发和建设项目等损害水土保持功能的活动。加强石漠化综合治理，</w:t>
            </w:r>
            <w:r>
              <w:rPr>
                <w:rFonts w:hint="default"/>
                <w:color w:val="auto"/>
                <w:highlight w:val="none"/>
              </w:rPr>
              <w:t>通过保护天然林、封山育林、退耕还林、小流域治理、农村生态能源建设、改变耕作方式、草食动物舍饲圈养、生态扶贫和生态移民等措施，恢复自然植被，提高水源涵养和水土保持能力。</w:t>
            </w:r>
          </w:p>
          <w:p>
            <w:pPr>
              <w:pStyle w:val="27"/>
              <w:ind w:firstLine="0" w:firstLineChars="0"/>
              <w:rPr>
                <w:rFonts w:hint="default"/>
                <w:color w:val="auto"/>
                <w:highlight w:val="none"/>
              </w:rPr>
            </w:pPr>
            <w:r>
              <w:rPr>
                <w:rFonts w:hint="default"/>
                <w:color w:val="auto"/>
                <w:highlight w:val="none"/>
                <w:lang w:val="en-US" w:eastAsia="zh-CN"/>
              </w:rPr>
              <w:t>4．</w:t>
            </w:r>
            <w:r>
              <w:rPr>
                <w:rFonts w:hint="default"/>
                <w:color w:val="auto"/>
                <w:highlight w:val="none"/>
              </w:rPr>
              <w:t>依据《国家级公益林管理办法》（林资发〔2017〕34号）进行管理，严格控制勘查、开采矿藏和工程建设使用国家级公益林地。确需使用的，严格按照《建设项目使用林地审核审批管理办法》有关规定办理使用林地手续。涉及林木采伐的，按相关规定依法办理林木采伐手续。经</w:t>
            </w:r>
            <w:r>
              <w:rPr>
                <w:rFonts w:hint="default" w:eastAsiaTheme="minorEastAsia"/>
                <w:color w:val="auto"/>
                <w:highlight w:val="none"/>
              </w:rPr>
              <w:t>审核</w:t>
            </w:r>
            <w:r>
              <w:rPr>
                <w:rFonts w:hint="default"/>
                <w:color w:val="auto"/>
                <w:highlight w:val="none"/>
              </w:rPr>
              <w:t>审批同意使用的国家级公益林地，可按规定实行占补平衡。一级国家级公益林原则上不得开展生产经营活动，严禁打枝、采脂、割漆、剥树皮、掘根等行为。二级国家级公益林在不影响整体森林生态系统功能发挥的前提下，可以按照相关技术规程的规定开展抚育和更新性质的采伐。在不破坏森林植被的前提下，可以合理利用其林地资源，适度开展林下种植养殖和森林游憩等非木质资源开发与利用，科学发展林下经济。</w:t>
            </w:r>
          </w:p>
          <w:p>
            <w:pPr>
              <w:pStyle w:val="27"/>
              <w:ind w:firstLine="0" w:firstLineChars="0"/>
              <w:rPr>
                <w:rFonts w:hint="default"/>
                <w:color w:val="auto"/>
                <w:highlight w:val="none"/>
              </w:rPr>
            </w:pPr>
            <w:r>
              <w:rPr>
                <w:rFonts w:hint="default"/>
                <w:color w:val="auto"/>
                <w:highlight w:val="none"/>
                <w:lang w:val="en-US" w:eastAsia="zh-CN"/>
              </w:rPr>
              <w:t>5．</w:t>
            </w:r>
            <w:r>
              <w:rPr>
                <w:rFonts w:hint="default"/>
                <w:color w:val="auto"/>
                <w:highlight w:val="none"/>
              </w:rPr>
              <w:t>对所有</w:t>
            </w:r>
            <w:r>
              <w:rPr>
                <w:rFonts w:hint="eastAsia" w:eastAsiaTheme="minorEastAsia"/>
                <w:color w:val="auto"/>
                <w:highlight w:val="none"/>
                <w:lang w:eastAsia="zh-CN"/>
              </w:rPr>
              <w:t>天然林</w:t>
            </w:r>
            <w:r>
              <w:rPr>
                <w:rFonts w:hint="default"/>
                <w:color w:val="auto"/>
                <w:highlight w:val="none"/>
              </w:rPr>
              <w:t>实行保护，禁止毁林开垦、将天然林改造为人工林以及其他破坏天然林及其生态环境的行为。对纳入保护重点区域的天然林，除森林病虫害防治、森林防火等维护天然林生态系统健康的必要措施外，禁止其他一切生产经营活动。开展天然林抚育作业的，必须编制作业设计，经林业主管部门审查批准后实施。严格控制天然林地转为其他用途，除国防建设、国家重大工程项目建设特色需要外，禁止占用保护重点区域的天然林地。在不破坏地表植被、不影响生物多样性保护前提下，可在天然林地适度发展生态旅游、休闲康养、特色种植养殖产业。</w:t>
            </w: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color w:val="auto"/>
                <w:highlight w:val="none"/>
                <w:lang w:val="en-US" w:eastAsia="zh-CN"/>
              </w:rPr>
              <w:t>6．</w:t>
            </w:r>
            <w:r>
              <w:rPr>
                <w:rFonts w:hint="default" w:ascii="Times New Roman" w:hAnsi="Times New Roman" w:cs="Times New Roman" w:eastAsiaTheme="minorEastAsia"/>
                <w:color w:val="auto"/>
                <w:highlight w:val="none"/>
                <w:lang w:val="en-US" w:eastAsia="zh-CN"/>
              </w:rPr>
              <w:t>大气一类功能区</w:t>
            </w:r>
            <w:r>
              <w:rPr>
                <w:rFonts w:hint="default" w:ascii="Times New Roman" w:hAnsi="Times New Roman" w:cs="Times New Roman"/>
                <w:color w:val="auto"/>
                <w:highlight w:val="none"/>
                <w:lang w:val="en-US" w:eastAsia="zh-CN"/>
              </w:rPr>
              <w:t>禁止新建、改建、扩建排放大气污染物的工业企业；筛查大气一类功能区是否存在大气污染物排放工业企业，对区域内已建涉大气污染物排放企业限期搬迁或依法关闭。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3" w:hRule="atLeast"/>
          <w:jc w:val="center"/>
        </w:trPr>
        <w:tc>
          <w:tcPr>
            <w:tcW w:w="131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ZH45020320001</w:t>
            </w:r>
          </w:p>
        </w:tc>
        <w:tc>
          <w:tcPr>
            <w:tcW w:w="204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柳州高新技术产业开发区重点管控单元</w:t>
            </w:r>
          </w:p>
        </w:tc>
        <w:tc>
          <w:tcPr>
            <w:tcW w:w="113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68" w:type="dxa"/>
            <w:shd w:val="clear" w:color="auto" w:fill="auto"/>
            <w:vAlign w:val="center"/>
          </w:tcPr>
          <w:p>
            <w:pPr>
              <w:pStyle w:val="27"/>
              <w:spacing w:line="400" w:lineRule="exact"/>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1．</w:t>
            </w:r>
            <w:r>
              <w:rPr>
                <w:rFonts w:hint="default" w:ascii="Times New Roman" w:hAnsi="Times New Roman" w:eastAsia="宋体" w:cs="Times New Roman"/>
                <w:strike w:val="0"/>
                <w:dstrike w:val="0"/>
                <w:color w:val="auto"/>
                <w:sz w:val="21"/>
                <w:szCs w:val="21"/>
                <w:highlight w:val="none"/>
              </w:rPr>
              <w:t>入园项目必须符合国家、自治区产业政策、供地政策及园区产业定位。</w:t>
            </w:r>
          </w:p>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2</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禁止引入造纸行业，现有的逐步搬出园区。</w:t>
            </w:r>
          </w:p>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3</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柳州市两面针纸业有限公司不得扩建，远期搬迁。</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sz w:val="21"/>
                <w:szCs w:val="21"/>
                <w:highlight w:val="none"/>
              </w:rPr>
              <w:t>4</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居住用地周边严控布局潜在污染扰民和环境风险突出的建设项目。滨江居住带北部靠近柳州市两面针纸业有限公司区域，在柳州市两面针纸业有限公司搬迁前暂不开发。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3"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368"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1</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有条件的工业聚集区建设集中喷涂工程中心，配备高效治污设施，替代企业独立喷涂工序。推动重点行业挥发性有机物（VOCs）污染防治，强化企业精细化管控、无组织废气排放控制以及高效治污设施建设，严格控制挥发性有机污染物排放。</w:t>
            </w:r>
          </w:p>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2</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完善工业园区污水集中处理设施和配套管网。实行“清污分流、雨污分流”，实现废水分类收集、分质处理，入园企业</w:t>
            </w:r>
            <w:r>
              <w:rPr>
                <w:rFonts w:hint="default" w:cs="Times New Roman"/>
                <w:strike w:val="0"/>
                <w:dstrike w:val="0"/>
                <w:color w:val="auto"/>
                <w:sz w:val="21"/>
                <w:szCs w:val="21"/>
                <w:highlight w:val="none"/>
                <w:lang w:eastAsia="zh-CN"/>
              </w:rPr>
              <w:t>应在</w:t>
            </w:r>
            <w:r>
              <w:rPr>
                <w:rFonts w:hint="default" w:ascii="Times New Roman" w:hAnsi="Times New Roman" w:eastAsia="宋体" w:cs="Times New Roman"/>
                <w:strike w:val="0"/>
                <w:dstrike w:val="0"/>
                <w:color w:val="auto"/>
                <w:sz w:val="21"/>
                <w:szCs w:val="21"/>
                <w:highlight w:val="none"/>
              </w:rPr>
              <w:t>达到国家或地方规定的排放标准</w:t>
            </w:r>
            <w:r>
              <w:rPr>
                <w:rFonts w:hint="default" w:cs="Times New Roman"/>
                <w:strike w:val="0"/>
                <w:dstrike w:val="0"/>
                <w:color w:val="auto"/>
                <w:sz w:val="21"/>
                <w:szCs w:val="21"/>
                <w:highlight w:val="none"/>
                <w:lang w:eastAsia="zh-CN"/>
              </w:rPr>
              <w:t>或达到运营单位与纳管企业约定的水质水量后，</w:t>
            </w:r>
            <w:r>
              <w:rPr>
                <w:rFonts w:hint="default" w:ascii="Times New Roman" w:hAnsi="Times New Roman" w:eastAsia="宋体" w:cs="Times New Roman"/>
                <w:strike w:val="0"/>
                <w:dstrike w:val="0"/>
                <w:color w:val="auto"/>
                <w:sz w:val="21"/>
                <w:szCs w:val="21"/>
                <w:highlight w:val="none"/>
              </w:rPr>
              <w:t>接入集中式污水处理设施处理</w:t>
            </w:r>
            <w:r>
              <w:rPr>
                <w:rFonts w:hint="default" w:ascii="Times New Roman" w:hAnsi="Times New Roman" w:eastAsia="宋体" w:cs="Times New Roman"/>
                <w:color w:val="auto"/>
                <w:kern w:val="0"/>
                <w:sz w:val="21"/>
                <w:szCs w:val="21"/>
                <w:highlight w:val="none"/>
                <w:lang w:bidi="ar"/>
              </w:rPr>
              <w:t>并实时监控。</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sz w:val="21"/>
                <w:szCs w:val="21"/>
                <w:highlight w:val="none"/>
                <w:lang w:val="en-US" w:eastAsia="zh-CN"/>
              </w:rPr>
              <w:t>3</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矿产资源勘查以及采选过程中排土场、露天采场、尾矿库、矿区专用道路、矿山工业场地、沉陷区、矸石场、矿山污染场地等的生态环境保护与治理恢复工作须满足</w:t>
            </w:r>
            <w:r>
              <w:rPr>
                <w:rFonts w:hint="default" w:cs="Times New Roman"/>
                <w:strike w:val="0"/>
                <w:dstrike w:val="0"/>
                <w:color w:val="auto"/>
                <w:sz w:val="21"/>
                <w:szCs w:val="21"/>
                <w:highlight w:val="none"/>
                <w:lang w:eastAsia="zh-CN"/>
              </w:rPr>
              <w:t>《矿山生态环境保护与恢复治理技术规范（试行）》</w:t>
            </w:r>
            <w:r>
              <w:rPr>
                <w:rFonts w:hint="default" w:ascii="Times New Roman" w:hAnsi="Times New Roman" w:eastAsia="宋体" w:cs="Times New Roman"/>
                <w:strike w:val="0"/>
                <w:dstrike w:val="0"/>
                <w:color w:val="auto"/>
                <w:sz w:val="21"/>
                <w:szCs w:val="21"/>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3"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368"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1</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开展环境风险评估，制定突发环境事件应急预案并备案，配备应急能力和物资，建设环境应急队伍，并定期演练。企业、园区与地方人民政府环境应急预案应当有机衔接。</w:t>
            </w:r>
          </w:p>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2</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涉重企业要采用新技术、新工艺，加快提标升级改造，实现全面达标排放。坚决淘汰不符合国家产业政策的落后生产工艺装备。</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sz w:val="21"/>
                <w:szCs w:val="21"/>
                <w:highlight w:val="none"/>
              </w:rPr>
              <w:t>3</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土壤污染重点监管单位应当严格控制有毒有害物质排放，并按年度向生态环境主管部门报告排放情况；建立土壤污染隐患排查制度，保证持续有效防止有毒有害物质渗漏、流失、扬散；制定、实施自行监测方案，并将监测数据报生态环境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7"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eastAsia="zh-CN"/>
              </w:rPr>
            </w:pPr>
            <w:r>
              <w:rPr>
                <w:rFonts w:hint="default" w:cs="Times New Roman" w:eastAsiaTheme="minorEastAsia"/>
                <w:strike w:val="0"/>
                <w:dstrike w:val="0"/>
                <w:color w:val="auto"/>
                <w:highlight w:val="none"/>
                <w:lang w:eastAsia="zh-CN"/>
              </w:rPr>
              <w:t>资源开发利用效率要求</w:t>
            </w:r>
          </w:p>
        </w:tc>
        <w:tc>
          <w:tcPr>
            <w:tcW w:w="8368" w:type="dxa"/>
            <w:shd w:val="clear" w:color="auto" w:fill="auto"/>
            <w:vAlign w:val="center"/>
          </w:tcPr>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eastAsia="宋体" w:cs="Times New Roman"/>
                <w:strike w:val="0"/>
                <w:dstrike w:val="0"/>
                <w:color w:val="auto"/>
                <w:sz w:val="21"/>
                <w:szCs w:val="21"/>
                <w:highlight w:val="none"/>
                <w:lang w:eastAsia="zh-CN"/>
              </w:rPr>
              <w:t>高污染燃料禁燃区</w:t>
            </w:r>
            <w:r>
              <w:rPr>
                <w:rFonts w:hint="default" w:ascii="Times New Roman" w:hAnsi="Times New Roman" w:eastAsia="宋体" w:cs="Times New Roman"/>
                <w:strike w:val="0"/>
                <w:dstrike w:val="0"/>
                <w:color w:val="auto"/>
                <w:sz w:val="21"/>
                <w:szCs w:val="21"/>
                <w:highlight w:val="none"/>
              </w:rPr>
              <w:t>内禁止销售高污染燃料。禁止新建、扩建燃用高污染燃料的锅炉、工业窑炉、炉灶等燃烧设施。已建成的，应当在辖区人民政府规定的期限内改用天然气、液化石油气、电或者</w:t>
            </w:r>
            <w:r>
              <w:rPr>
                <w:rFonts w:hint="default" w:cs="Times New Roman"/>
                <w:strike w:val="0"/>
                <w:dstrike w:val="0"/>
                <w:color w:val="auto"/>
                <w:sz w:val="21"/>
                <w:szCs w:val="21"/>
                <w:highlight w:val="none"/>
                <w:lang w:eastAsia="zh-CN"/>
              </w:rPr>
              <w:t>其他</w:t>
            </w:r>
            <w:r>
              <w:rPr>
                <w:rFonts w:hint="default" w:ascii="Times New Roman" w:hAnsi="Times New Roman" w:eastAsia="宋体" w:cs="Times New Roman"/>
                <w:strike w:val="0"/>
                <w:dstrike w:val="0"/>
                <w:color w:val="auto"/>
                <w:sz w:val="21"/>
                <w:szCs w:val="21"/>
                <w:highlight w:val="none"/>
              </w:rPr>
              <w:t>清洁能源。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8" w:hRule="atLeast"/>
          <w:jc w:val="center"/>
        </w:trPr>
        <w:tc>
          <w:tcPr>
            <w:tcW w:w="131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ZH45020320002</w:t>
            </w:r>
          </w:p>
        </w:tc>
        <w:tc>
          <w:tcPr>
            <w:tcW w:w="204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commentRangeStart w:id="1"/>
            <w:r>
              <w:rPr>
                <w:rFonts w:hint="default" w:eastAsiaTheme="minorEastAsia"/>
                <w:color w:val="auto"/>
                <w:highlight w:val="none"/>
              </w:rPr>
              <w:t>柳州市鱼峰工业区重点管控单元</w:t>
            </w:r>
            <w:commentRangeEnd w:id="1"/>
            <w:r>
              <w:rPr>
                <w:highlight w:val="none"/>
              </w:rPr>
              <w:commentReference w:id="1"/>
            </w:r>
          </w:p>
        </w:tc>
        <w:tc>
          <w:tcPr>
            <w:tcW w:w="113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68" w:type="dxa"/>
            <w:shd w:val="clear" w:color="auto" w:fill="auto"/>
            <w:vAlign w:val="center"/>
          </w:tcPr>
          <w:p>
            <w:pPr>
              <w:pStyle w:val="27"/>
              <w:numPr>
                <w:ilvl w:val="0"/>
                <w:numId w:val="0"/>
              </w:numPr>
              <w:spacing w:line="240" w:lineRule="auto"/>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1．</w:t>
            </w:r>
            <w:r>
              <w:rPr>
                <w:rFonts w:hint="default" w:ascii="Times New Roman" w:hAnsi="Times New Roman" w:eastAsia="宋体" w:cs="Times New Roman"/>
                <w:strike w:val="0"/>
                <w:dstrike w:val="0"/>
                <w:color w:val="auto"/>
                <w:sz w:val="21"/>
                <w:szCs w:val="21"/>
                <w:highlight w:val="none"/>
              </w:rPr>
              <w:t>入园项目必须符合国家、自治区产业政策、供地政策及园区产业定位。</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居住用地周边严控布局潜在污染扰民和环境风险突出的建设项目。洛维片区边界划定防护绿地，种植抗污染性强的阔叶林防护带。将对环境影响相对较小的企业放在区域工业用地的西侧，以减少对葡萄山西侧生活区的影响。</w:t>
            </w:r>
          </w:p>
          <w:p>
            <w:pPr>
              <w:pStyle w:val="27"/>
              <w:keepNext w:val="0"/>
              <w:keepLines w:val="0"/>
              <w:numPr>
                <w:ilvl w:val="0"/>
                <w:numId w:val="0"/>
              </w:numPr>
              <w:suppressLineNumbers w:val="0"/>
              <w:spacing w:before="0" w:beforeAutospacing="0" w:after="0" w:afterAutospacing="0"/>
              <w:ind w:right="0" w:rightChars="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新建大气污染物排放的工业项目，原则上应当进入工业园区或者工业集聚区；加快布局分散的企业向园区集中。</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cs="Times New Roman" w:eastAsiaTheme="minorEastAsia"/>
                <w:strike w:val="0"/>
                <w:dstrike w:val="0"/>
                <w:color w:val="auto"/>
                <w:highlight w:val="none"/>
                <w:lang w:val="en-US" w:eastAsia="zh-CN"/>
              </w:rPr>
              <w:t>产业园</w:t>
            </w:r>
            <w:r>
              <w:rPr>
                <w:rFonts w:hint="default" w:ascii="Times New Roman" w:hAnsi="Times New Roman" w:cs="Times New Roman" w:eastAsiaTheme="minorEastAsia"/>
                <w:strike w:val="0"/>
                <w:dstrike w:val="0"/>
                <w:color w:val="auto"/>
                <w:highlight w:val="none"/>
                <w:lang w:val="en-US" w:eastAsia="zh-CN"/>
              </w:rPr>
              <w:t>区管理机构应将规划环评结论及审查意见落实到规划中，负责统筹区域内生态环境基础设施建设，不得引入不符合规划环评结论及审查意见的项目入园。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5"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368" w:type="dxa"/>
            <w:shd w:val="clear" w:color="auto" w:fill="auto"/>
            <w:vAlign w:val="center"/>
          </w:tcPr>
          <w:p>
            <w:pPr>
              <w:pStyle w:val="27"/>
              <w:keepNext w:val="0"/>
              <w:keepLines w:val="0"/>
              <w:numPr>
                <w:ilvl w:val="0"/>
                <w:numId w:val="0"/>
              </w:numPr>
              <w:suppressLineNumbers w:val="0"/>
              <w:spacing w:before="0" w:beforeAutospacing="0" w:after="0" w:afterAutospacing="0"/>
              <w:ind w:right="0" w:rightChars="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深化园区工业污染治理，持续推进工业污染源全面达标排放，开展烟气高效脱硫脱硝</w:t>
            </w:r>
            <w:r>
              <w:rPr>
                <w:rFonts w:hint="default" w:cs="Times New Roman" w:eastAsiaTheme="minorEastAsia"/>
                <w:strike w:val="0"/>
                <w:dstrike w:val="0"/>
                <w:color w:val="auto"/>
                <w:highlight w:val="none"/>
                <w:lang w:val="en-US" w:eastAsia="zh-CN"/>
              </w:rPr>
              <w:t>、</w:t>
            </w:r>
            <w:r>
              <w:rPr>
                <w:rFonts w:hint="default" w:ascii="Times New Roman" w:hAnsi="Times New Roman" w:cs="Times New Roman" w:eastAsiaTheme="minorEastAsia"/>
                <w:strike w:val="0"/>
                <w:dstrike w:val="0"/>
                <w:color w:val="auto"/>
                <w:highlight w:val="none"/>
                <w:lang w:val="en-US" w:eastAsia="zh-CN"/>
              </w:rPr>
              <w:t>除尘改造。推进各类园区技术、工艺、设备等生态化、循环化改造，积极推广园区集中供热。</w:t>
            </w:r>
            <w:r>
              <w:rPr>
                <w:rFonts w:hint="default" w:ascii="Times New Roman" w:hAnsi="Times New Roman" w:cs="Times New Roman" w:eastAsiaTheme="minorEastAsia"/>
                <w:strike w:val="0"/>
                <w:dstrike w:val="0"/>
                <w:color w:val="auto"/>
                <w:highlight w:val="none"/>
              </w:rPr>
              <w:t>强化工业企业无组织排放管理。</w:t>
            </w:r>
            <w:r>
              <w:rPr>
                <w:rFonts w:hint="default" w:ascii="Times New Roman" w:hAnsi="Times New Roman" w:cs="Times New Roman" w:eastAsiaTheme="minorEastAsia"/>
                <w:strike w:val="0"/>
                <w:dstrike w:val="0"/>
                <w:color w:val="auto"/>
                <w:highlight w:val="none"/>
                <w:lang w:val="en-US" w:eastAsia="zh-CN"/>
              </w:rPr>
              <w:t>强化园区堆场扬尘控制。推动重点行业VOCs的排放管控，加强VOCs排放企业源头控制。</w:t>
            </w:r>
          </w:p>
          <w:p>
            <w:pPr>
              <w:pStyle w:val="27"/>
              <w:keepNext w:val="0"/>
              <w:keepLines w:val="0"/>
              <w:numPr>
                <w:ilvl w:val="0"/>
                <w:numId w:val="0"/>
              </w:numPr>
              <w:suppressLineNumbers w:val="0"/>
              <w:spacing w:before="0" w:beforeAutospacing="0" w:after="0" w:afterAutospacing="0"/>
              <w:ind w:right="0" w:rightChars="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逐步完成工业集聚区集中式污水处理设施建设，确保已建污水处理设施稳定运行及达标排放。园区集中式污水处理设施总排口安装自动监控系统、视频监控系统，并与生态环境主管部门联网。按照“清污分流、雨污分流”原则，实施废水分类收集、分质处理。</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rPr>
              <w:t>园区及园区企业排放水污染物，要满足国家或者地方规定的水污染物排放标准和重点水污染物排放总量控制指标。直接外排水环境的，执行国家或者地方规定的标准要求；经城镇污水集中处理设施处理后排放的，执行市政部门管理要求；经园区污水集中处理设施处理后排放的，执行园区管理部门相关要求</w:t>
            </w:r>
            <w:r>
              <w:rPr>
                <w:rFonts w:hint="default" w:ascii="Times New Roman" w:hAnsi="Times New Roman" w:cs="Times New Roman" w:eastAsiaTheme="minorEastAsia"/>
                <w:strike w:val="0"/>
                <w:dstrike w:val="0"/>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1"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368"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开展环境风险评估，制定突发环境事件应急预案并备案，配备应急能力和物资，建设环境应急队伍，并定期演练。企业、园区与地方人民政府环境应急预案应当有机衔接。</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8" w:hRule="atLeast"/>
          <w:jc w:val="center"/>
        </w:trPr>
        <w:tc>
          <w:tcPr>
            <w:tcW w:w="131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ZH45020320003</w:t>
            </w:r>
          </w:p>
        </w:tc>
        <w:tc>
          <w:tcPr>
            <w:tcW w:w="204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广西柳州阳和工业新区重点管控单元</w:t>
            </w:r>
          </w:p>
        </w:tc>
        <w:tc>
          <w:tcPr>
            <w:tcW w:w="113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68" w:type="dxa"/>
            <w:shd w:val="clear" w:color="auto" w:fill="auto"/>
            <w:vAlign w:val="center"/>
          </w:tcPr>
          <w:p>
            <w:pPr>
              <w:pStyle w:val="27"/>
              <w:spacing w:line="400" w:lineRule="exact"/>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1．</w:t>
            </w:r>
            <w:r>
              <w:rPr>
                <w:rFonts w:hint="default" w:ascii="Times New Roman" w:hAnsi="Times New Roman" w:eastAsia="宋体" w:cs="Times New Roman"/>
                <w:strike w:val="0"/>
                <w:dstrike w:val="0"/>
                <w:color w:val="auto"/>
                <w:sz w:val="21"/>
                <w:szCs w:val="21"/>
                <w:highlight w:val="none"/>
              </w:rPr>
              <w:t>入园项目必须符合国家、自治区产业政策、供地政策及园区产业定位。</w:t>
            </w:r>
          </w:p>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cs="Times New Roman"/>
                <w:strike w:val="0"/>
                <w:dstrike w:val="0"/>
                <w:color w:val="auto"/>
                <w:sz w:val="21"/>
                <w:szCs w:val="21"/>
                <w:highlight w:val="none"/>
                <w:lang w:val="en-US" w:eastAsia="zh-CN"/>
              </w:rPr>
              <w:t>2</w:t>
            </w:r>
            <w:r>
              <w:rPr>
                <w:rFonts w:hint="default" w:ascii="Times New Roman" w:hAnsi="Times New Roman" w:cs="Times New Roman"/>
                <w:color w:val="auto"/>
                <w:sz w:val="21"/>
                <w:highlight w:val="none"/>
              </w:rPr>
              <w:t>．</w:t>
            </w:r>
            <w:r>
              <w:rPr>
                <w:rFonts w:hint="default" w:ascii="Times New Roman" w:hAnsi="Times New Roman" w:eastAsia="宋体" w:cs="Times New Roman"/>
                <w:strike w:val="0"/>
                <w:dstrike w:val="0"/>
                <w:color w:val="auto"/>
                <w:sz w:val="21"/>
                <w:szCs w:val="21"/>
                <w:highlight w:val="none"/>
              </w:rPr>
              <w:t>居住用地周边严控布局潜在污染扰民和环境风险突出的建设项目。禁止在现有企业环境防护距离内再规划建设集中居民区、学校、医院等环境敏感目标。</w:t>
            </w:r>
          </w:p>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lang w:eastAsia="zh-CN"/>
              </w:rPr>
            </w:pPr>
            <w:r>
              <w:rPr>
                <w:rFonts w:hint="default" w:cs="Times New Roman"/>
                <w:strike w:val="0"/>
                <w:dstrike w:val="0"/>
                <w:color w:val="auto"/>
                <w:sz w:val="21"/>
                <w:szCs w:val="21"/>
                <w:highlight w:val="none"/>
                <w:lang w:val="en-US" w:eastAsia="zh-CN"/>
              </w:rPr>
              <w:t>3</w:t>
            </w:r>
            <w:r>
              <w:rPr>
                <w:rFonts w:hint="default" w:ascii="Times New Roman" w:hAnsi="Times New Roman" w:cs="Times New Roman"/>
                <w:color w:val="auto"/>
                <w:sz w:val="21"/>
                <w:highlight w:val="none"/>
              </w:rPr>
              <w:t>．</w:t>
            </w:r>
            <w:r>
              <w:rPr>
                <w:rFonts w:hint="default" w:ascii="Times New Roman" w:hAnsi="Times New Roman" w:eastAsia="宋体" w:cs="Times New Roman"/>
                <w:color w:val="auto"/>
                <w:sz w:val="21"/>
                <w:highlight w:val="none"/>
                <w:lang w:val="en-US" w:eastAsia="zh-CN"/>
              </w:rPr>
              <w:t>辖区泉南高速以西片区原则上不再新建产生挥发性有机物为主、异味突出的大气排放项目；对现有产生挥发性有机废气和异味的企业实施升级改造，落实生产车间全密闭，提高废气收集处置率，降低污染物排放；对矛盾突出且不能完成有机废气深度治理、异味治理的企业实施搬迁</w:t>
            </w:r>
            <w:r>
              <w:rPr>
                <w:rFonts w:hint="default" w:ascii="Times New Roman" w:hAnsi="Times New Roman" w:eastAsia="宋体" w:cs="Times New Roman"/>
                <w:strike w:val="0"/>
                <w:dstrike w:val="0"/>
                <w:color w:val="auto"/>
                <w:sz w:val="21"/>
                <w:szCs w:val="21"/>
                <w:highlight w:val="none"/>
                <w:lang w:eastAsia="zh-CN"/>
              </w:rPr>
              <w:t>。</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cs="Times New Roman"/>
                <w:strike w:val="0"/>
                <w:dstrike w:val="0"/>
                <w:color w:val="auto"/>
                <w:sz w:val="21"/>
                <w:szCs w:val="21"/>
                <w:highlight w:val="none"/>
                <w:lang w:val="en-US" w:eastAsia="zh-CN"/>
              </w:rPr>
              <w:t>4</w:t>
            </w:r>
            <w:r>
              <w:rPr>
                <w:rFonts w:hint="default" w:ascii="Times New Roman" w:hAnsi="Times New Roman" w:cs="Times New Roman"/>
                <w:color w:val="auto"/>
                <w:sz w:val="21"/>
                <w:highlight w:val="none"/>
              </w:rPr>
              <w:t>．</w:t>
            </w:r>
            <w:r>
              <w:rPr>
                <w:rFonts w:hint="default" w:ascii="Times New Roman" w:hAnsi="Times New Roman" w:eastAsia="宋体" w:cs="Times New Roman"/>
                <w:color w:val="auto"/>
                <w:sz w:val="21"/>
                <w:highlight w:val="none"/>
                <w:lang w:val="en-US" w:eastAsia="zh-CN"/>
              </w:rPr>
              <w:t>入驻企业按照环保和行业要求合理设置大气防护距离，以最可能减少对区域空气环境的影响</w:t>
            </w:r>
            <w:r>
              <w:rPr>
                <w:rFonts w:hint="default" w:ascii="Times New Roman" w:hAnsi="Times New Roman" w:eastAsia="宋体" w:cs="Times New Roman"/>
                <w:strike w:val="0"/>
                <w:dstrike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5"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368"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1</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强化工业企业无组织排放管理。加大对废气排放企业的监管，现有企业尽可能改进现有生产工艺，进一步减少有机废气和异味的产污环节，提高无组织排放废气回收率；对新建企业废气排放执行更严格的排放标准。</w:t>
            </w:r>
          </w:p>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lang w:eastAsia="zh-CN"/>
              </w:rPr>
            </w:pPr>
            <w:r>
              <w:rPr>
                <w:rFonts w:hint="default" w:ascii="Times New Roman" w:hAnsi="Times New Roman" w:eastAsia="宋体" w:cs="Times New Roman"/>
                <w:strike w:val="0"/>
                <w:dstrike w:val="0"/>
                <w:color w:val="auto"/>
                <w:sz w:val="21"/>
                <w:szCs w:val="21"/>
                <w:highlight w:val="none"/>
              </w:rPr>
              <w:t>2</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园区现有老旧企业、产能增加企业，进行升级改造。调漆、喷漆、涂装等工段必须设在密闭车间内，</w:t>
            </w:r>
            <w:r>
              <w:rPr>
                <w:rFonts w:hint="default" w:ascii="Times New Roman" w:hAnsi="Times New Roman" w:eastAsia="宋体" w:cs="Times New Roman"/>
                <w:bCs w:val="0"/>
                <w:color w:val="auto"/>
                <w:sz w:val="21"/>
                <w:szCs w:val="21"/>
                <w:highlight w:val="none"/>
              </w:rPr>
              <w:t>挥发性有机</w:t>
            </w:r>
            <w:r>
              <w:rPr>
                <w:rFonts w:hint="default" w:cs="Times New Roman"/>
                <w:bCs w:val="0"/>
                <w:color w:val="auto"/>
                <w:sz w:val="21"/>
                <w:szCs w:val="21"/>
                <w:highlight w:val="none"/>
                <w:lang w:eastAsia="zh-CN"/>
              </w:rPr>
              <w:t>污染物</w:t>
            </w:r>
            <w:r>
              <w:rPr>
                <w:rFonts w:hint="default" w:ascii="Times New Roman" w:hAnsi="Times New Roman" w:eastAsia="宋体" w:cs="Times New Roman"/>
                <w:bCs w:val="0"/>
                <w:color w:val="auto"/>
                <w:sz w:val="21"/>
                <w:szCs w:val="21"/>
                <w:highlight w:val="none"/>
              </w:rPr>
              <w:t>（VOCs）</w:t>
            </w:r>
            <w:r>
              <w:rPr>
                <w:rFonts w:hint="default" w:ascii="Times New Roman" w:hAnsi="Times New Roman" w:eastAsia="宋体" w:cs="Times New Roman"/>
                <w:strike w:val="0"/>
                <w:dstrike w:val="0"/>
                <w:color w:val="auto"/>
                <w:sz w:val="21"/>
                <w:szCs w:val="21"/>
                <w:highlight w:val="none"/>
              </w:rPr>
              <w:t>治理工艺必须采用复合吸附工艺</w:t>
            </w:r>
            <w:r>
              <w:rPr>
                <w:rFonts w:hint="default" w:cs="Times New Roman"/>
                <w:strike w:val="0"/>
                <w:dstrike w:val="0"/>
                <w:color w:val="auto"/>
                <w:sz w:val="21"/>
                <w:szCs w:val="21"/>
                <w:highlight w:val="none"/>
                <w:lang w:eastAsia="zh-CN"/>
              </w:rPr>
              <w:t>，严格控制</w:t>
            </w:r>
            <w:r>
              <w:rPr>
                <w:rFonts w:hint="default" w:ascii="Times New Roman" w:hAnsi="Times New Roman" w:eastAsia="宋体" w:cs="Times New Roman"/>
                <w:bCs w:val="0"/>
                <w:color w:val="auto"/>
                <w:sz w:val="21"/>
                <w:szCs w:val="21"/>
                <w:highlight w:val="none"/>
              </w:rPr>
              <w:t>VOCs</w:t>
            </w:r>
            <w:r>
              <w:rPr>
                <w:rFonts w:hint="default" w:cs="Times New Roman"/>
                <w:bCs w:val="0"/>
                <w:color w:val="auto"/>
                <w:sz w:val="21"/>
                <w:szCs w:val="21"/>
                <w:highlight w:val="none"/>
                <w:lang w:eastAsia="zh-CN"/>
              </w:rPr>
              <w:t>排放。</w:t>
            </w:r>
          </w:p>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lang w:val="en-US" w:eastAsia="zh-CN"/>
              </w:rPr>
              <w:t>3</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园区边界规划防护绿地，种植抗污染性强的阔叶林防护带，减缓园区工业废气排放对周边区域的影响。</w:t>
            </w:r>
          </w:p>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cs="Times New Roman"/>
                <w:strike w:val="0"/>
                <w:dstrike w:val="0"/>
                <w:color w:val="auto"/>
                <w:sz w:val="21"/>
                <w:szCs w:val="21"/>
                <w:highlight w:val="none"/>
                <w:lang w:val="en-US" w:eastAsia="zh-CN"/>
              </w:rPr>
              <w:t>4</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完善工业园区污水集中处理设施和配套管网。实行“清污分流、雨污分流”，实现废水分类收集、分质处理</w:t>
            </w:r>
            <w:r>
              <w:rPr>
                <w:rFonts w:hint="default"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入园企业</w:t>
            </w:r>
            <w:r>
              <w:rPr>
                <w:rFonts w:hint="default" w:cs="Times New Roman"/>
                <w:strike w:val="0"/>
                <w:dstrike w:val="0"/>
                <w:color w:val="auto"/>
                <w:sz w:val="21"/>
                <w:szCs w:val="21"/>
                <w:highlight w:val="none"/>
                <w:lang w:eastAsia="zh-CN"/>
              </w:rPr>
              <w:t>应在</w:t>
            </w:r>
            <w:r>
              <w:rPr>
                <w:rFonts w:hint="default" w:ascii="Times New Roman" w:hAnsi="Times New Roman" w:eastAsia="宋体" w:cs="Times New Roman"/>
                <w:strike w:val="0"/>
                <w:dstrike w:val="0"/>
                <w:color w:val="auto"/>
                <w:sz w:val="21"/>
                <w:szCs w:val="21"/>
                <w:highlight w:val="none"/>
              </w:rPr>
              <w:t>达到国家或地方规定的排放标准</w:t>
            </w:r>
            <w:r>
              <w:rPr>
                <w:rFonts w:hint="default" w:cs="Times New Roman"/>
                <w:strike w:val="0"/>
                <w:dstrike w:val="0"/>
                <w:color w:val="auto"/>
                <w:sz w:val="21"/>
                <w:szCs w:val="21"/>
                <w:highlight w:val="none"/>
                <w:lang w:eastAsia="zh-CN"/>
              </w:rPr>
              <w:t>或达到运营单位与纳管企业约定的水质水量后，</w:t>
            </w:r>
            <w:r>
              <w:rPr>
                <w:rFonts w:hint="default" w:ascii="Times New Roman" w:hAnsi="Times New Roman" w:eastAsia="宋体" w:cs="Times New Roman"/>
                <w:strike w:val="0"/>
                <w:dstrike w:val="0"/>
                <w:color w:val="auto"/>
                <w:sz w:val="21"/>
                <w:szCs w:val="21"/>
                <w:highlight w:val="none"/>
              </w:rPr>
              <w:t>接入集中式污水处理设施处理</w:t>
            </w:r>
            <w:r>
              <w:rPr>
                <w:rFonts w:hint="default" w:ascii="Times New Roman" w:hAnsi="Times New Roman" w:eastAsia="宋体" w:cs="Times New Roman"/>
                <w:color w:val="auto"/>
                <w:kern w:val="0"/>
                <w:sz w:val="21"/>
                <w:szCs w:val="21"/>
                <w:highlight w:val="none"/>
                <w:lang w:bidi="ar"/>
              </w:rPr>
              <w:t>并实时监控。</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strike w:val="0"/>
                <w:dstrike w:val="0"/>
                <w:color w:val="auto"/>
                <w:sz w:val="21"/>
                <w:szCs w:val="21"/>
                <w:highlight w:val="none"/>
                <w:lang w:val="en-US" w:eastAsia="zh-CN"/>
              </w:rPr>
              <w:t>5</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矿产资源勘查以及采选过程中排土场、露天采场、尾矿库、矿区专用道路、矿山工业场地、沉陷区、矸石场、矿山污染场地等的生态环境保护与治理恢复工作须满足</w:t>
            </w:r>
            <w:r>
              <w:rPr>
                <w:rFonts w:hint="default" w:cs="Times New Roman"/>
                <w:strike w:val="0"/>
                <w:dstrike w:val="0"/>
                <w:color w:val="auto"/>
                <w:sz w:val="21"/>
                <w:szCs w:val="21"/>
                <w:highlight w:val="none"/>
                <w:lang w:eastAsia="zh-CN"/>
              </w:rPr>
              <w:t>《矿山生态环境保护与恢复治理技术规范（试行）》</w:t>
            </w:r>
            <w:r>
              <w:rPr>
                <w:rFonts w:hint="default" w:ascii="Times New Roman" w:hAnsi="Times New Roman" w:eastAsia="宋体" w:cs="Times New Roman"/>
                <w:strike w:val="0"/>
                <w:dstrike w:val="0"/>
                <w:color w:val="auto"/>
                <w:sz w:val="21"/>
                <w:szCs w:val="21"/>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6"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368"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1</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开展环境风险评估，制定突发环境事件应急预案并备案，配备应急能力和物资，建设环境应急队伍，并定期演练。企业、园区与地方人民政府环境应急预案应当有机衔接。</w:t>
            </w:r>
          </w:p>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2</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土壤污染重点监管单位应当严格控制有毒有害物质排放，并按年度向生态环境主管部门报告排放情况；建立土壤污染隐患排查制度，保证持续有效防止有毒有害物质渗漏、流失、扬散；制定、实施自行监测方案，并将监测数据报生态环境主管部门。</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sz w:val="21"/>
                <w:szCs w:val="21"/>
                <w:highlight w:val="none"/>
              </w:rPr>
              <w:t>3</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涉重企业要采用新技术、新工艺，加快提标升级改造，实现全面达标排放。坚决淘汰不符合国家产业政策的落后生产工艺装备。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eastAsia="zh-CN"/>
              </w:rPr>
            </w:pPr>
            <w:r>
              <w:rPr>
                <w:rFonts w:hint="default" w:cs="Times New Roman" w:eastAsiaTheme="minorEastAsia"/>
                <w:strike w:val="0"/>
                <w:dstrike w:val="0"/>
                <w:color w:val="auto"/>
                <w:highlight w:val="none"/>
                <w:lang w:eastAsia="zh-CN"/>
              </w:rPr>
              <w:t>资源开发利用效率要求</w:t>
            </w:r>
          </w:p>
        </w:tc>
        <w:tc>
          <w:tcPr>
            <w:tcW w:w="8368" w:type="dxa"/>
            <w:shd w:val="clear" w:color="auto" w:fill="auto"/>
            <w:vAlign w:val="center"/>
          </w:tcPr>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eastAsia="宋体" w:cs="Times New Roman"/>
                <w:strike w:val="0"/>
                <w:dstrike w:val="0"/>
                <w:color w:val="auto"/>
                <w:sz w:val="21"/>
                <w:szCs w:val="21"/>
                <w:highlight w:val="none"/>
                <w:lang w:eastAsia="zh-CN"/>
              </w:rPr>
              <w:t>高污染燃料禁燃区</w:t>
            </w:r>
            <w:r>
              <w:rPr>
                <w:rFonts w:hint="default" w:ascii="Times New Roman" w:hAnsi="Times New Roman" w:eastAsia="宋体" w:cs="Times New Roman"/>
                <w:strike w:val="0"/>
                <w:dstrike w:val="0"/>
                <w:color w:val="auto"/>
                <w:sz w:val="21"/>
                <w:szCs w:val="21"/>
                <w:highlight w:val="none"/>
              </w:rPr>
              <w:t>内禁止销售高污染燃料。禁止新建、扩建燃用高污染燃料的锅炉、工业窑炉、炉灶等燃烧设施。已建成的，应当在辖区人民政府规定的期限内改用天然气、液化石油气、电或者</w:t>
            </w:r>
            <w:r>
              <w:rPr>
                <w:rFonts w:hint="default" w:cs="Times New Roman"/>
                <w:strike w:val="0"/>
                <w:dstrike w:val="0"/>
                <w:color w:val="auto"/>
                <w:sz w:val="21"/>
                <w:szCs w:val="21"/>
                <w:highlight w:val="none"/>
                <w:lang w:eastAsia="zh-CN"/>
              </w:rPr>
              <w:t>其他</w:t>
            </w:r>
            <w:r>
              <w:rPr>
                <w:rFonts w:hint="default" w:ascii="Times New Roman" w:hAnsi="Times New Roman" w:eastAsia="宋体" w:cs="Times New Roman"/>
                <w:strike w:val="0"/>
                <w:dstrike w:val="0"/>
                <w:color w:val="auto"/>
                <w:sz w:val="21"/>
                <w:szCs w:val="21"/>
                <w:highlight w:val="none"/>
              </w:rPr>
              <w:t>清洁能源。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1" w:hRule="atLeast"/>
          <w:jc w:val="center"/>
        </w:trPr>
        <w:tc>
          <w:tcPr>
            <w:tcW w:w="131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ZH45020320004</w:t>
            </w:r>
          </w:p>
        </w:tc>
        <w:tc>
          <w:tcPr>
            <w:tcW w:w="204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鱼峰区城镇空间重点管控单元</w:t>
            </w:r>
          </w:p>
        </w:tc>
        <w:tc>
          <w:tcPr>
            <w:tcW w:w="113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68" w:type="dxa"/>
            <w:shd w:val="clear" w:color="auto" w:fill="auto"/>
            <w:vAlign w:val="center"/>
          </w:tcPr>
          <w:p>
            <w:pPr>
              <w:pStyle w:val="27"/>
              <w:keepNext w:val="0"/>
              <w:keepLines w:val="0"/>
              <w:suppressLineNumbers w:val="0"/>
              <w:spacing w:before="0" w:beforeAutospacing="0" w:after="0" w:afterAutospacing="0"/>
              <w:ind w:left="0" w:right="0"/>
              <w:rPr>
                <w:rFonts w:hint="default" w:cs="Times New Roman" w:eastAsiaTheme="minorEastAsia"/>
                <w:strike w:val="0"/>
                <w:dstrike w:val="0"/>
                <w:color w:val="auto"/>
                <w:highlight w:val="none"/>
                <w:lang w:val="en-US" w:eastAsia="zh-CN"/>
              </w:rPr>
            </w:pPr>
            <w:r>
              <w:rPr>
                <w:rFonts w:hint="eastAsia"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．城市建成区内的钢铁、石油、化工、有色金属、水泥、平板玻璃、建筑陶瓷、砖瓦等行业中的高排放、高污染项目，应当逐步进行搬迁、改造或者转型、退出。</w:t>
            </w:r>
          </w:p>
          <w:p>
            <w:pPr>
              <w:pStyle w:val="27"/>
              <w:keepNext w:val="0"/>
              <w:keepLines w:val="0"/>
              <w:suppressLineNumbers w:val="0"/>
              <w:spacing w:before="0" w:beforeAutospacing="0" w:after="0" w:afterAutospacing="0"/>
              <w:ind w:left="0" w:right="0"/>
              <w:rPr>
                <w:rFonts w:hint="default" w:eastAsiaTheme="minorEastAsia"/>
                <w:color w:val="auto"/>
                <w:highlight w:val="none"/>
                <w:lang w:val="en-US" w:eastAsia="zh-CN"/>
              </w:rPr>
            </w:pPr>
            <w:r>
              <w:rPr>
                <w:rFonts w:hint="eastAsia"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．城市市区、镇和村庄居民区、文化教育科学研究区等人口集中区域禁止设置畜禽养殖场、养殖小区。</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与饮用水水源保护区二级保护区重叠部分依据《广西壮族自治区饮用水水源保护条例》进行管理。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3"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368"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lang w:val="en-US" w:eastAsia="zh-CN"/>
              </w:rPr>
            </w:pPr>
            <w:r>
              <w:rPr>
                <w:rFonts w:hint="default" w:eastAsiaTheme="minorEastAsia"/>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lang w:val="en-US" w:eastAsia="zh-CN"/>
              </w:rPr>
              <w:t>加大燃煤小锅炉淘汰力度。依法依规加快淘汰老旧柴油货车。严格控制施工和道路扬尘污染。禁止露天焚烧</w:t>
            </w:r>
            <w:r>
              <w:rPr>
                <w:rFonts w:hint="default" w:ascii="Times New Roman" w:hAnsi="Times New Roman" w:cs="Times New Roman" w:eastAsiaTheme="minorEastAsia"/>
                <w:strike w:val="0"/>
                <w:dstrike w:val="0"/>
                <w:color w:val="auto"/>
                <w:highlight w:val="none"/>
                <w:lang w:val="en-US" w:eastAsia="zh-CN"/>
              </w:rPr>
              <w:t>产生</w:t>
            </w:r>
            <w:r>
              <w:rPr>
                <w:rFonts w:hint="default" w:eastAsiaTheme="minorEastAsia"/>
                <w:color w:val="auto"/>
                <w:highlight w:val="none"/>
                <w:lang w:val="en-US" w:eastAsia="zh-CN"/>
              </w:rPr>
              <w:t>有毒有害烟尘和恶臭气体的物质。鼓励建筑装修、汽修喷涂作业、干洗等行业，使用低毒、低挥发性溶剂。</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cs="Times New Roman" w:eastAsiaTheme="minorEastAsia"/>
                <w:strike w:val="0"/>
                <w:dstrike w:val="0"/>
                <w:color w:val="auto"/>
                <w:highlight w:val="none"/>
                <w:lang w:eastAsia="zh-CN"/>
              </w:rPr>
              <w:t>城市建成区基本</w:t>
            </w:r>
            <w:r>
              <w:rPr>
                <w:rFonts w:hint="default" w:ascii="Times New Roman" w:hAnsi="Times New Roman" w:cs="Times New Roman" w:eastAsiaTheme="minorEastAsia"/>
                <w:strike w:val="0"/>
                <w:dstrike w:val="0"/>
                <w:color w:val="auto"/>
                <w:highlight w:val="none"/>
                <w:lang w:eastAsia="zh-CN"/>
              </w:rPr>
              <w:t>消除生活污水直排口，有效杜绝污水直排水体。</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．提高污水处理能力，完善既有污水处理厂和新建、扩建污水处理厂配套管网建设，基本实现城中村、老旧城区和城乡结合部生活污水收集处理。</w:t>
            </w:r>
          </w:p>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8"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368"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lang w:val="en-US" w:eastAsia="zh-CN"/>
              </w:rPr>
              <w:t>对暂</w:t>
            </w:r>
            <w:r>
              <w:rPr>
                <w:rFonts w:hint="default" w:ascii="Times New Roman" w:hAnsi="Times New Roman" w:cs="Times New Roman" w:eastAsiaTheme="minorEastAsia"/>
                <w:strike w:val="0"/>
                <w:dstrike w:val="0"/>
                <w:color w:val="auto"/>
                <w:highlight w:val="none"/>
                <w:lang w:val="en-US" w:eastAsia="zh-CN"/>
              </w:rPr>
              <w:t>不开发利用的污染地块，实施以防止污染扩散为目的的风险管控；对拟开发利用为居住用地和商业、学校、医疗、养老机构等公共设施用地的污染地块，实施以安全利用为目的的风险管控。</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土壤污染重点监管单位应当严格控制有毒有害物质排放，并按年度向所在地设区的市人民政府生态环境主管部门报告排放情况；建立土壤污染隐患排查制度，保证持续有效防止有毒有害物质渗漏、流失、扬散。</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1"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eastAsia="zh-CN"/>
              </w:rPr>
            </w:pPr>
            <w:r>
              <w:rPr>
                <w:rFonts w:hint="default" w:cs="Times New Roman" w:eastAsiaTheme="minorEastAsia"/>
                <w:strike w:val="0"/>
                <w:dstrike w:val="0"/>
                <w:color w:val="auto"/>
                <w:highlight w:val="none"/>
                <w:lang w:eastAsia="zh-CN"/>
              </w:rPr>
              <w:t>资源开发利用效率要求</w:t>
            </w:r>
          </w:p>
        </w:tc>
        <w:tc>
          <w:tcPr>
            <w:tcW w:w="8368"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lang w:val="en-US" w:eastAsia="zh-CN"/>
              </w:rPr>
              <w:t>禁燃区内禁止销售、使用原煤等高污染燃料，</w:t>
            </w:r>
            <w:r>
              <w:rPr>
                <w:rFonts w:hint="default" w:ascii="Times New Roman" w:hAnsi="Times New Roman" w:cs="Times New Roman" w:eastAsiaTheme="minorEastAsia"/>
                <w:strike w:val="0"/>
                <w:dstrike w:val="0"/>
                <w:color w:val="auto"/>
                <w:highlight w:val="none"/>
                <w:lang w:val="en-US" w:eastAsia="zh-CN"/>
              </w:rPr>
              <w:t>现有</w:t>
            </w:r>
            <w:r>
              <w:rPr>
                <w:rFonts w:hint="default" w:eastAsiaTheme="minorEastAsia"/>
                <w:color w:val="auto"/>
                <w:highlight w:val="none"/>
                <w:lang w:val="en-US" w:eastAsia="zh-CN"/>
              </w:rPr>
              <w:t>燃用高污染燃料的设施应在规定期限内停止燃用高污染燃料，改用天然气、液化石油气、电</w:t>
            </w:r>
            <w:r>
              <w:rPr>
                <w:rFonts w:hint="default" w:ascii="Times New Roman" w:hAnsi="Times New Roman" w:cs="Times New Roman" w:eastAsiaTheme="minorEastAsia"/>
                <w:strike w:val="0"/>
                <w:dstrike w:val="0"/>
                <w:color w:val="auto"/>
                <w:highlight w:val="none"/>
                <w:lang w:val="en-US" w:eastAsia="zh-CN"/>
              </w:rPr>
              <w:t>或者其他清洁能源，其余按照《柳州市人民政府关于划定柳州市高污染燃料禁燃区的通告》要求实施管理</w:t>
            </w:r>
            <w:r>
              <w:rPr>
                <w:rFonts w:hint="default" w:eastAsiaTheme="minor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1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ZH45020320005</w:t>
            </w:r>
          </w:p>
        </w:tc>
        <w:tc>
          <w:tcPr>
            <w:tcW w:w="204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鱼峰区布局敏感区重点管控单元</w:t>
            </w:r>
          </w:p>
        </w:tc>
        <w:tc>
          <w:tcPr>
            <w:tcW w:w="113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68" w:type="dxa"/>
            <w:shd w:val="clear" w:color="auto" w:fill="auto"/>
            <w:vAlign w:val="center"/>
          </w:tcPr>
          <w:p>
            <w:pPr>
              <w:pStyle w:val="27"/>
              <w:keepNext w:val="0"/>
              <w:keepLines w:val="0"/>
              <w:numPr>
                <w:ilvl w:val="0"/>
                <w:numId w:val="0"/>
              </w:numPr>
              <w:suppressLineNumbers w:val="0"/>
              <w:adjustRightInd w:val="0"/>
              <w:snapToGrid w:val="0"/>
              <w:spacing w:before="0" w:beforeAutospacing="0" w:after="0" w:afterAutospacing="0"/>
              <w:ind w:left="0" w:leftChars="0" w:right="0" w:rightChars="0" w:firstLine="0" w:firstLineChars="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原则上避免大规模排放大气污染物的项目布局建设。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5"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368" w:type="dxa"/>
            <w:shd w:val="clear" w:color="auto" w:fill="auto"/>
            <w:vAlign w:val="center"/>
          </w:tcPr>
          <w:p>
            <w:pPr>
              <w:pStyle w:val="27"/>
              <w:keepNext w:val="0"/>
              <w:keepLines w:val="0"/>
              <w:numPr>
                <w:ilvl w:val="0"/>
                <w:numId w:val="0"/>
              </w:numPr>
              <w:suppressLineNumbers w:val="0"/>
              <w:adjustRightInd w:val="0"/>
              <w:snapToGrid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cs="Times New Roman" w:eastAsiaTheme="minorEastAsia"/>
                <w:strike w:val="0"/>
                <w:dstrike w:val="0"/>
                <w:color w:val="auto"/>
                <w:highlight w:val="none"/>
                <w:lang w:val="en-US" w:eastAsia="zh-CN"/>
              </w:rPr>
              <w:t>全面开展“散乱污”企业及集群综合整治行动。加大区域内大气污染治理力度，优化大气污染物排放项目布局，引导新建、扩建排放大气污染工业项目采用清洁生产工艺、先进的污染防治工艺。强化不利气象条件下秸秆焚烧控制，空气污染预警情况下严格执行秸秆禁烧管控。加强VOCs排放企业源头控制。</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3"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368"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7"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eastAsia="zh-CN"/>
              </w:rPr>
            </w:pPr>
            <w:r>
              <w:rPr>
                <w:rFonts w:hint="default" w:cs="Times New Roman" w:eastAsiaTheme="minorEastAsia"/>
                <w:strike w:val="0"/>
                <w:dstrike w:val="0"/>
                <w:color w:val="auto"/>
                <w:highlight w:val="none"/>
                <w:lang w:eastAsia="zh-CN"/>
              </w:rPr>
              <w:t>资源开发利用效率要求</w:t>
            </w:r>
          </w:p>
        </w:tc>
        <w:tc>
          <w:tcPr>
            <w:tcW w:w="8368"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禁燃区内禁止销售、使用原煤等高污染燃料，现有燃用高污染燃料的设施应在规定期限内停止燃用高污染燃料，改用天然气、液化石油气、电或者其他清洁能源，其余按照《柳州市人民政府关于划定柳州市高污染燃料禁燃区的通告》要求实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1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ZH45020320006</w:t>
            </w:r>
          </w:p>
        </w:tc>
        <w:tc>
          <w:tcPr>
            <w:tcW w:w="204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rPr>
            </w:pPr>
            <w:commentRangeStart w:id="2"/>
            <w:r>
              <w:rPr>
                <w:rFonts w:hint="default" w:eastAsiaTheme="minorEastAsia"/>
                <w:color w:val="auto"/>
                <w:highlight w:val="none"/>
              </w:rPr>
              <w:t>鱼峰区其他重点管控单元</w:t>
            </w:r>
            <w:commentRangeEnd w:id="2"/>
            <w:r>
              <w:rPr>
                <w:highlight w:val="none"/>
              </w:rPr>
              <w:commentReference w:id="2"/>
            </w:r>
          </w:p>
        </w:tc>
        <w:tc>
          <w:tcPr>
            <w:tcW w:w="113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68" w:type="dxa"/>
            <w:shd w:val="clear" w:color="auto" w:fill="auto"/>
            <w:vAlign w:val="center"/>
          </w:tcPr>
          <w:p>
            <w:pPr>
              <w:pStyle w:val="27"/>
              <w:keepNext w:val="0"/>
              <w:keepLines w:val="0"/>
              <w:numPr>
                <w:ilvl w:val="-1"/>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规划产业园区应当依法依规进行审批。新建企业原则上均应建在产业园区。</w:t>
            </w:r>
          </w:p>
          <w:p>
            <w:pPr>
              <w:pStyle w:val="27"/>
              <w:keepNext w:val="0"/>
              <w:keepLines w:val="0"/>
              <w:numPr>
                <w:ilvl w:val="-1"/>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ascii="Times New Roman" w:hAnsi="Times New Roman" w:eastAsiaTheme="minorEastAsia"/>
                <w:color w:val="auto"/>
                <w:highlight w:val="none"/>
              </w:rPr>
              <w:t>新建港口码头应避让且尽量远离生态保护红线、法定保护区等环境保护目标，降低规划实施对敏感目标的影响</w:t>
            </w:r>
            <w:r>
              <w:rPr>
                <w:rFonts w:hint="default" w:eastAsiaTheme="minorEastAsia"/>
                <w:color w:val="auto"/>
                <w:highlight w:val="none"/>
                <w:lang w:eastAsia="zh-CN"/>
              </w:rPr>
              <w:t>。</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居住用地周边严控布局潜在污染扰民和环境风险突出的建设项目。</w:t>
            </w:r>
            <w:r>
              <w:rPr>
                <w:rFonts w:hint="default" w:ascii="Times New Roman" w:hAnsi="Times New Roman" w:cs="Times New Roman" w:eastAsiaTheme="minorEastAsia"/>
                <w:b w:val="0"/>
                <w:strike w:val="0"/>
                <w:dstrike w:val="0"/>
                <w:color w:val="auto"/>
                <w:highlight w:val="none"/>
              </w:rPr>
              <w:t>禁止</w:t>
            </w:r>
            <w:r>
              <w:rPr>
                <w:rFonts w:hint="default" w:ascii="Times New Roman" w:hAnsi="Times New Roman" w:cs="Times New Roman" w:eastAsiaTheme="minorEastAsia"/>
                <w:strike w:val="0"/>
                <w:dstrike w:val="0"/>
                <w:color w:val="auto"/>
                <w:highlight w:val="none"/>
              </w:rPr>
              <w:t>在居民区和学校、医院、疗养院、养老院等单位周边新建、改建、扩建可能造成土壤污染的建设项目。</w:t>
            </w:r>
            <w:r>
              <w:rPr>
                <w:rFonts w:hint="default" w:ascii="Times New Roman" w:hAnsi="Times New Roman" w:cs="Times New Roman" w:eastAsiaTheme="minorEastAsia"/>
                <w:b w:val="0"/>
                <w:strike w:val="0"/>
                <w:dstrike w:val="0"/>
                <w:color w:val="auto"/>
                <w:highlight w:val="none"/>
              </w:rPr>
              <w:t>禁止</w:t>
            </w:r>
            <w:r>
              <w:rPr>
                <w:rFonts w:hint="default" w:ascii="Times New Roman" w:hAnsi="Times New Roman" w:cs="Times New Roman" w:eastAsiaTheme="minorEastAsia"/>
                <w:strike w:val="0"/>
                <w:dstrike w:val="0"/>
                <w:color w:val="auto"/>
                <w:highlight w:val="none"/>
              </w:rPr>
              <w:t>在人口聚居区域内新（改、扩）建涉重金属企业。</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临近生态保护红线的工业企业，应采取有效措施，避免产生不利影响。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7"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368"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工业企业应当落实大气污染防治要求，采取有效措施，强化企业大气污染物排放精细化管理、无组织废气排放控制以及高效治污设施建设。</w:t>
            </w:r>
          </w:p>
          <w:p>
            <w:pPr>
              <w:pStyle w:val="27"/>
              <w:keepNext w:val="0"/>
              <w:keepLines w:val="0"/>
              <w:suppressLineNumbers w:val="0"/>
              <w:spacing w:before="0" w:beforeAutospacing="0" w:after="0" w:afterAutospacing="0"/>
              <w:ind w:left="0" w:right="0"/>
              <w:rPr>
                <w:rFonts w:hint="default"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color w:val="auto"/>
                <w:highlight w:val="none"/>
                <w:lang w:val="en-US" w:eastAsia="zh-CN"/>
              </w:rPr>
              <w:t>完善港区污水集中处理设施和配套管网建设，实现污水集中处理、回用或达标排放。</w:t>
            </w:r>
          </w:p>
          <w:p>
            <w:pPr>
              <w:pStyle w:val="27"/>
              <w:keepNext w:val="0"/>
              <w:keepLines w:val="0"/>
              <w:numPr>
                <w:ilvl w:val="0"/>
                <w:numId w:val="0"/>
              </w:numPr>
              <w:suppressLineNumbers w:val="0"/>
              <w:spacing w:before="0" w:beforeAutospacing="0" w:after="0" w:afterAutospacing="0"/>
              <w:ind w:right="0" w:rightChars="0"/>
              <w:rPr>
                <w:rFonts w:hint="default"/>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color w:val="auto"/>
                <w:highlight w:val="none"/>
                <w:lang w:val="en-US" w:eastAsia="zh-CN"/>
              </w:rPr>
              <w:t>强化码头作业区堆场扬尘控制。</w:t>
            </w:r>
          </w:p>
          <w:p>
            <w:pPr>
              <w:pStyle w:val="27"/>
              <w:keepNext w:val="0"/>
              <w:keepLines w:val="0"/>
              <w:suppressLineNumbers w:val="0"/>
              <w:spacing w:before="0" w:beforeAutospacing="0" w:after="0" w:afterAutospacing="0"/>
              <w:ind w:left="0" w:right="0"/>
              <w:rPr>
                <w:rFonts w:hint="default"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rPr>
              <w:t>规划产业园区建设应同步完善污水处理设施及管网建设；园区及园区企业主要污染物排放应控制在区域环境承载能力范围内，确保环境质量达标。</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5</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4" w:hRule="atLeast"/>
          <w:jc w:val="center"/>
        </w:trPr>
        <w:tc>
          <w:tcPr>
            <w:tcW w:w="131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4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3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368"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开展环境风险评估，制定突发环境事件应急预案并备案，配备应急能力和物资，建设环境应急队伍，并定期演练。完善区域应急联动机制。</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2" w:hRule="atLeast"/>
          <w:jc w:val="center"/>
        </w:trPr>
        <w:tc>
          <w:tcPr>
            <w:tcW w:w="131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ZH45020330001</w:t>
            </w:r>
          </w:p>
        </w:tc>
        <w:tc>
          <w:tcPr>
            <w:tcW w:w="204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鱼峰区一般管控单元</w:t>
            </w:r>
          </w:p>
        </w:tc>
        <w:tc>
          <w:tcPr>
            <w:tcW w:w="113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一般管控单元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68"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永久基本农田一经划定，任何单位和个人不得擅自占用或改变用途。禁止任何单位和个人破坏永久基本农田耕作层。对永久基本农田实行严格保护，确保其面积不减少、土壤环境质量不下降，除法律规定的重点建设项目选址确实无法避让外，其他任何建设不得占用。</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在永久基本农田集中区域，不得新建可能造成土壤污染的建设项目；已经建成的，应当限期关闭拆除。</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禁止将重金属或者其他有毒有害物质含量超标的工业固体废物、生活垃圾或者污染土壤用于土地复垦。</w:t>
            </w:r>
          </w:p>
        </w:tc>
      </w:tr>
    </w:tbl>
    <w:p>
      <w:pPr>
        <w:widowControl/>
        <w:jc w:val="left"/>
        <w:rPr>
          <w:rFonts w:hint="default" w:ascii="Times New Roman" w:hAnsi="Times New Roman" w:cs="Times New Roman"/>
          <w:strike w:val="0"/>
          <w:dstrike w:val="0"/>
          <w:color w:val="auto"/>
          <w:highlight w:val="none"/>
        </w:rPr>
      </w:pPr>
      <w:r>
        <w:rPr>
          <w:rFonts w:hint="default" w:ascii="Times New Roman" w:hAnsi="Times New Roman" w:cs="Times New Roman"/>
          <w:strike w:val="0"/>
          <w:dstrike w:val="0"/>
          <w:color w:val="auto"/>
          <w:highlight w:val="none"/>
        </w:rPr>
        <w:br w:type="page"/>
      </w:r>
    </w:p>
    <w:p>
      <w:pPr>
        <w:pStyle w:val="3"/>
        <w:rPr>
          <w:rFonts w:hint="default" w:ascii="Times New Roman" w:hAnsi="Times New Roman" w:cs="Times New Roman"/>
          <w:color w:val="auto"/>
          <w:highlight w:val="none"/>
        </w:rPr>
      </w:pPr>
      <w:bookmarkStart w:id="27" w:name="_Toc18049"/>
      <w:bookmarkStart w:id="28" w:name="_Toc4737"/>
      <w:bookmarkStart w:id="29" w:name="_Toc32639"/>
      <w:bookmarkStart w:id="30" w:name="_Toc12382"/>
      <w:bookmarkStart w:id="31" w:name="_Toc3728"/>
      <w:bookmarkStart w:id="32" w:name="_Toc4231"/>
      <w:bookmarkStart w:id="33" w:name="_Toc13088"/>
      <w:bookmarkStart w:id="34" w:name="_Toc19822"/>
      <w:bookmarkStart w:id="35" w:name="_Toc21729"/>
      <w:bookmarkStart w:id="36" w:name="_Toc19185"/>
      <w:r>
        <w:rPr>
          <w:rFonts w:hint="default" w:ascii="Times New Roman" w:hAnsi="Times New Roman" w:cs="Times New Roman"/>
          <w:color w:val="auto"/>
          <w:highlight w:val="none"/>
          <w:lang w:val="en-US" w:eastAsia="zh-CN"/>
        </w:rPr>
        <w:t xml:space="preserve">3 </w:t>
      </w:r>
      <w:r>
        <w:rPr>
          <w:rFonts w:hint="default" w:ascii="Times New Roman" w:hAnsi="Times New Roman" w:cs="Times New Roman"/>
          <w:color w:val="auto"/>
          <w:highlight w:val="none"/>
        </w:rPr>
        <w:t>柳南区</w:t>
      </w:r>
      <w:bookmarkEnd w:id="27"/>
      <w:bookmarkEnd w:id="28"/>
      <w:bookmarkEnd w:id="29"/>
      <w:bookmarkEnd w:id="30"/>
      <w:bookmarkEnd w:id="31"/>
      <w:bookmarkEnd w:id="32"/>
      <w:bookmarkEnd w:id="33"/>
      <w:bookmarkEnd w:id="34"/>
      <w:bookmarkEnd w:id="35"/>
      <w:bookmarkEnd w:id="36"/>
    </w:p>
    <w:p>
      <w:pPr>
        <w:pStyle w:val="25"/>
        <w:rPr>
          <w:rFonts w:hint="default" w:ascii="Times New Roman" w:hAnsi="Times New Roman" w:cs="Times New Roman"/>
          <w:strike w:val="0"/>
          <w:dstrike w:val="0"/>
          <w:color w:val="auto"/>
          <w:highlight w:val="none"/>
        </w:rPr>
      </w:pPr>
      <w:r>
        <w:rPr>
          <w:rFonts w:hint="default" w:ascii="Times New Roman" w:hAnsi="Times New Roman" w:cs="Times New Roman"/>
          <w:strike w:val="0"/>
          <w:dstrike w:val="0"/>
          <w:color w:val="auto"/>
          <w:highlight w:val="none"/>
        </w:rPr>
        <w:t>表</w:t>
      </w:r>
      <w:r>
        <w:rPr>
          <w:rFonts w:hint="default" w:cs="Times New Roman"/>
          <w:strike w:val="0"/>
          <w:dstrike w:val="0"/>
          <w:color w:val="auto"/>
          <w:highlight w:val="none"/>
          <w:lang w:val="en-US" w:eastAsia="zh-CN"/>
        </w:rPr>
        <w:t>3</w:t>
      </w:r>
      <w:r>
        <w:rPr>
          <w:rFonts w:hint="default" w:ascii="Times New Roman" w:hAnsi="Times New Roman" w:cs="Times New Roman"/>
          <w:strike w:val="0"/>
          <w:dstrike w:val="0"/>
          <w:color w:val="auto"/>
          <w:highlight w:val="none"/>
        </w:rPr>
        <w:t>-</w:t>
      </w:r>
      <w:r>
        <w:rPr>
          <w:rFonts w:hint="default" w:ascii="Times New Roman" w:hAnsi="Times New Roman" w:cs="Times New Roman"/>
          <w:strike w:val="0"/>
          <w:dstrike w:val="0"/>
          <w:color w:val="auto"/>
          <w:highlight w:val="none"/>
          <w:lang w:val="en-US" w:eastAsia="zh-CN"/>
        </w:rPr>
        <w:t>1</w:t>
      </w:r>
      <w:r>
        <w:rPr>
          <w:rFonts w:hint="default" w:ascii="Times New Roman" w:hAnsi="Times New Roman" w:cs="Times New Roman"/>
          <w:strike w:val="0"/>
          <w:dstrike w:val="0"/>
          <w:color w:val="auto"/>
          <w:highlight w:val="none"/>
        </w:rPr>
        <w:t xml:space="preserve">  柳州市柳南区</w:t>
      </w:r>
      <w:r>
        <w:rPr>
          <w:rFonts w:hint="default" w:ascii="Times New Roman" w:hAnsi="Times New Roman" w:cs="Times New Roman"/>
          <w:strike w:val="0"/>
          <w:dstrike w:val="0"/>
          <w:color w:val="auto"/>
          <w:highlight w:val="none"/>
          <w:lang w:val="en-US" w:eastAsia="zh-CN"/>
        </w:rPr>
        <w:t>生态环境准入及管控要求</w:t>
      </w:r>
    </w:p>
    <w:tbl>
      <w:tblPr>
        <w:tblStyle w:val="15"/>
        <w:tblW w:w="13978" w:type="dxa"/>
        <w:jc w:val="center"/>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986"/>
        <w:gridCol w:w="1160"/>
        <w:gridCol w:w="1174"/>
        <w:gridCol w:w="8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blHeader/>
          <w:jc w:val="center"/>
        </w:trPr>
        <w:tc>
          <w:tcPr>
            <w:tcW w:w="1325"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环境管控单元编码</w:t>
            </w:r>
          </w:p>
        </w:tc>
        <w:tc>
          <w:tcPr>
            <w:tcW w:w="1986"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环境管控单元名称</w:t>
            </w:r>
          </w:p>
        </w:tc>
        <w:tc>
          <w:tcPr>
            <w:tcW w:w="1160"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环境管控单元类别</w:t>
            </w:r>
          </w:p>
        </w:tc>
        <w:tc>
          <w:tcPr>
            <w:tcW w:w="9507" w:type="dxa"/>
            <w:gridSpan w:val="2"/>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b/>
                <w:bCs/>
                <w:color w:val="auto"/>
                <w:highlight w:val="none"/>
                <w:lang w:val="en-US" w:eastAsia="zh-CN"/>
              </w:rPr>
              <w:t>生态环境准入及管控要求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1" w:hRule="atLeast"/>
          <w:jc w:val="center"/>
        </w:trPr>
        <w:tc>
          <w:tcPr>
            <w:tcW w:w="1325"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r>
              <w:rPr>
                <w:rFonts w:hint="default" w:eastAsiaTheme="minorEastAsia"/>
                <w:color w:val="auto"/>
                <w:highlight w:val="none"/>
                <w:lang w:bidi="ar"/>
              </w:rPr>
              <w:t>ZH45020410001</w:t>
            </w:r>
          </w:p>
        </w:tc>
        <w:tc>
          <w:tcPr>
            <w:tcW w:w="1986"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bidi="ar"/>
              </w:rPr>
            </w:pPr>
            <w:r>
              <w:rPr>
                <w:rFonts w:hint="default" w:eastAsiaTheme="minorEastAsia"/>
                <w:color w:val="auto"/>
                <w:highlight w:val="none"/>
                <w:lang w:bidi="ar"/>
              </w:rPr>
              <w:t>红水河流域岩溶山地水土保持生态保护红线</w:t>
            </w:r>
          </w:p>
        </w:tc>
        <w:tc>
          <w:tcPr>
            <w:tcW w:w="116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r>
              <w:rPr>
                <w:rFonts w:hint="default" w:ascii="Times New Roman" w:hAnsi="Times New Roman" w:cs="Times New Roman" w:eastAsiaTheme="minorEastAsia"/>
                <w:strike w:val="0"/>
                <w:dstrike w:val="0"/>
                <w:color w:val="auto"/>
                <w:highlight w:val="none"/>
                <w:lang w:bidi="ar"/>
              </w:rPr>
              <w:t>优先保护单元</w:t>
            </w:r>
          </w:p>
        </w:tc>
        <w:tc>
          <w:tcPr>
            <w:tcW w:w="117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33" w:type="dxa"/>
            <w:shd w:val="clear" w:color="auto" w:fill="auto"/>
            <w:vAlign w:val="center"/>
          </w:tcPr>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在符合现行法律法规前提下，除国家重大战略项目外，仅允许对生态功能不造成破坏的有限人为活动。</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w:t>
            </w:r>
            <w:r>
              <w:rPr>
                <w:rFonts w:hint="default" w:eastAsiaTheme="minorEastAsia"/>
                <w:color w:val="auto"/>
                <w:highlight w:val="none"/>
              </w:rPr>
              <w:t>级环境管控及准入要求清单进行。</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生态公益林、天然林还需执行国家、自治区以及市县相应法律法规要求。</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jc w:val="center"/>
        </w:trPr>
        <w:tc>
          <w:tcPr>
            <w:tcW w:w="1325"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r>
              <w:rPr>
                <w:rFonts w:hint="default" w:eastAsiaTheme="minorEastAsia"/>
                <w:color w:val="auto"/>
                <w:highlight w:val="none"/>
                <w:lang w:bidi="ar"/>
              </w:rPr>
              <w:t>ZH45020410002</w:t>
            </w:r>
          </w:p>
        </w:tc>
        <w:tc>
          <w:tcPr>
            <w:tcW w:w="1986"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bidi="ar"/>
              </w:rPr>
            </w:pPr>
            <w:r>
              <w:rPr>
                <w:rFonts w:hint="default" w:eastAsiaTheme="minorEastAsia"/>
                <w:color w:val="auto"/>
                <w:highlight w:val="none"/>
                <w:lang w:bidi="ar"/>
              </w:rPr>
              <w:t>柳江-黔江流域水源涵养生态保护红线</w:t>
            </w:r>
          </w:p>
        </w:tc>
        <w:tc>
          <w:tcPr>
            <w:tcW w:w="1160"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lang w:bidi="ar"/>
              </w:rPr>
            </w:pPr>
            <w:r>
              <w:rPr>
                <w:rFonts w:hint="default" w:ascii="Times New Roman" w:hAnsi="Times New Roman" w:cs="Times New Roman" w:eastAsiaTheme="minorEastAsia"/>
                <w:strike w:val="0"/>
                <w:dstrike w:val="0"/>
                <w:color w:val="auto"/>
                <w:highlight w:val="none"/>
                <w:lang w:bidi="ar"/>
              </w:rPr>
              <w:t>优先保护单元</w:t>
            </w:r>
          </w:p>
        </w:tc>
        <w:tc>
          <w:tcPr>
            <w:tcW w:w="1174"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33" w:type="dxa"/>
            <w:shd w:val="clear" w:color="auto" w:fill="auto"/>
            <w:vAlign w:val="center"/>
          </w:tcPr>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在符合现行法律法规前提下，除国家重大战略项目外，仅允许对生态功能不造成破坏的有限人为活动。</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w:t>
            </w:r>
            <w:r>
              <w:rPr>
                <w:rFonts w:hint="default" w:eastAsiaTheme="minorEastAsia"/>
                <w:color w:val="auto"/>
                <w:highlight w:val="none"/>
              </w:rPr>
              <w:t>级环境管控及准入要求清单进行。</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饮用水水源保护区以及生态公益林、天然林还需执行国家、自治区以及市县相应法律法规要求。</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5"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r>
              <w:rPr>
                <w:rFonts w:hint="default" w:eastAsiaTheme="minorEastAsia"/>
                <w:color w:val="auto"/>
                <w:highlight w:val="none"/>
              </w:rPr>
              <w:t>ZH45020410003</w:t>
            </w:r>
          </w:p>
        </w:tc>
        <w:tc>
          <w:tcPr>
            <w:tcW w:w="1986"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bidi="ar"/>
              </w:rPr>
            </w:pPr>
            <w:r>
              <w:rPr>
                <w:rFonts w:hint="default" w:eastAsiaTheme="minorEastAsia"/>
                <w:color w:val="auto"/>
                <w:highlight w:val="none"/>
                <w:lang w:bidi="ar"/>
              </w:rPr>
              <w:t>柳南区其他优先保护单元</w:t>
            </w:r>
          </w:p>
        </w:tc>
        <w:tc>
          <w:tcPr>
            <w:tcW w:w="1160" w:type="dxa"/>
            <w:shd w:val="clear" w:color="auto" w:fill="auto"/>
            <w:vAlign w:val="center"/>
          </w:tcPr>
          <w:p>
            <w:pPr>
              <w:pStyle w:val="14"/>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lang w:bidi="ar"/>
              </w:rPr>
            </w:pPr>
            <w:r>
              <w:rPr>
                <w:rFonts w:hint="default" w:ascii="Times New Roman" w:hAnsi="Times New Roman" w:eastAsia="宋体" w:cs="Times New Roman"/>
                <w:strike w:val="0"/>
                <w:dstrike w:val="0"/>
                <w:color w:val="auto"/>
                <w:kern w:val="2"/>
                <w:sz w:val="21"/>
                <w:szCs w:val="21"/>
                <w:highlight w:val="none"/>
                <w:lang w:val="en-US" w:eastAsia="zh-CN" w:bidi="ar"/>
              </w:rPr>
              <w:t>优先保护单元</w:t>
            </w:r>
          </w:p>
        </w:tc>
        <w:tc>
          <w:tcPr>
            <w:tcW w:w="1174" w:type="dxa"/>
            <w:shd w:val="clear" w:color="auto" w:fill="auto"/>
            <w:vAlign w:val="center"/>
          </w:tcPr>
          <w:p>
            <w:pPr>
              <w:pStyle w:val="14"/>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kern w:val="2"/>
                <w:sz w:val="21"/>
                <w:szCs w:val="21"/>
                <w:highlight w:val="none"/>
                <w:lang w:val="en-US" w:eastAsia="zh-CN" w:bidi="ar"/>
              </w:rPr>
              <w:t>空间布局约束</w:t>
            </w:r>
          </w:p>
        </w:tc>
        <w:tc>
          <w:tcPr>
            <w:tcW w:w="8333" w:type="dxa"/>
            <w:shd w:val="clear" w:color="auto" w:fill="auto"/>
            <w:vAlign w:val="center"/>
          </w:tcPr>
          <w:p>
            <w:pPr>
              <w:pStyle w:val="27"/>
              <w:ind w:firstLine="0" w:firstLineChars="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．除符合国土空间规划建设和布局要求，以及市级以上矿产资源总体规划、能源开发利用规划、线性工程规划外，原则上按限制开发区域的要求进行管理。</w:t>
            </w:r>
          </w:p>
          <w:p>
            <w:pPr>
              <w:pStyle w:val="27"/>
              <w:ind w:firstLine="0" w:firstLineChars="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矿产资源开发活动、新能源建设项目以及线性工程项目等要符合法律法规以及主体功能区规划、生态功能区划、环境保护总体规划、行业规划等规划要求，不得破坏生态、降低环境质量。要优化项目选址布局，严格控制开采量和开采区域，减少对生态空间的占用，不影响区域主导生态功能。要采取更加严格和有效的预防和保护措施，避免和减轻开发活动造成的生态破坏和环境污染。要严格落实项目环评的跟踪监测计划，项目开采（开工）、闭矿、跟踪监测要及时向所在地生态环境部门进行报备。加强矿山开采项目及其闭矿的环保督察，开展矿山区域生态环境质量飞行抽检。乡村振兴项目建设的审批简化和豁免要符合有关规定，不得影响区域主导生态功能、降低区域生态环境质量。</w:t>
            </w:r>
          </w:p>
          <w:p>
            <w:pPr>
              <w:pStyle w:val="27"/>
              <w:ind w:firstLine="0" w:firstLineChars="0"/>
              <w:rPr>
                <w:rFonts w:hint="default" w:eastAsiaTheme="minorEastAsia"/>
                <w:color w:val="auto"/>
                <w:highlight w:val="none"/>
              </w:rPr>
            </w:pPr>
            <w:r>
              <w:rPr>
                <w:rFonts w:hint="default" w:eastAsiaTheme="minorEastAsia"/>
                <w:color w:val="auto"/>
                <w:highlight w:val="none"/>
                <w:lang w:val="en-US" w:eastAsia="zh-CN"/>
              </w:rPr>
              <w:t>3．</w:t>
            </w:r>
            <w:r>
              <w:rPr>
                <w:rFonts w:hint="default" w:eastAsiaTheme="minorEastAsia"/>
                <w:color w:val="auto"/>
                <w:highlight w:val="none"/>
              </w:rPr>
              <w:t>（极）重度石漠化区</w:t>
            </w:r>
            <w:r>
              <w:rPr>
                <w:rFonts w:hint="default" w:eastAsiaTheme="minorEastAsia"/>
                <w:color w:val="auto"/>
                <w:highlight w:val="none"/>
                <w:lang w:eastAsia="zh-CN"/>
              </w:rPr>
              <w:t>内</w:t>
            </w:r>
            <w:r>
              <w:rPr>
                <w:rFonts w:hint="default" w:eastAsiaTheme="minorEastAsia"/>
                <w:color w:val="auto"/>
                <w:highlight w:val="none"/>
              </w:rPr>
              <w:t>严禁陡坡垦殖、过度放牧、乱砍滥伐树木等损害水土保持功能的活动。禁止在崩塌、滑坡危险区和泥石流易发区从事取土、挖砂、采石等可能造成水土流失的活动。控制人为造成新增水土流失的资源开发和建设项目等损害水土保持功能的活动。加强石漠化综合治理，通过保护天然林、封山育林、退耕还林、小流域治理、农村生态能源建设、改变耕作方式、草食动物舍饲圈养、生态扶贫和生态移民等措施，恢复自然植被，提高水源涵养和水土保持能力。</w:t>
            </w:r>
          </w:p>
          <w:p>
            <w:pPr>
              <w:pStyle w:val="27"/>
              <w:ind w:firstLine="0" w:firstLineChars="0"/>
              <w:rPr>
                <w:rFonts w:hint="default" w:eastAsiaTheme="minorEastAsia"/>
                <w:color w:val="auto"/>
                <w:highlight w:val="none"/>
                <w:lang w:val="en-US" w:eastAsia="zh-CN"/>
              </w:rPr>
            </w:pPr>
            <w:r>
              <w:rPr>
                <w:rFonts w:hint="default" w:eastAsiaTheme="minorEastAsia"/>
                <w:color w:val="auto"/>
                <w:highlight w:val="none"/>
                <w:lang w:val="en-US" w:eastAsia="zh-CN"/>
              </w:rPr>
              <w:t>4．</w:t>
            </w:r>
            <w:r>
              <w:rPr>
                <w:rFonts w:hint="default" w:eastAsiaTheme="minorEastAsia"/>
                <w:color w:val="auto"/>
                <w:highlight w:val="none"/>
              </w:rPr>
              <w:t>生物多样性维护功能极重要区</w:t>
            </w:r>
            <w:r>
              <w:rPr>
                <w:rFonts w:hint="default" w:eastAsiaTheme="minorEastAsia"/>
                <w:color w:val="auto"/>
                <w:highlight w:val="none"/>
                <w:lang w:eastAsia="zh-CN"/>
              </w:rPr>
              <w:t>内</w:t>
            </w:r>
            <w:r>
              <w:rPr>
                <w:rFonts w:hint="default" w:eastAsiaTheme="minorEastAsia"/>
                <w:color w:val="auto"/>
                <w:highlight w:val="none"/>
              </w:rPr>
              <w:t>禁止滥捕、乱采、乱猎野生动植物。保护自然生态系统与重要物种栖息地，禁止无序采矿、毁林开荒、湿地和草地开垦等各种损害栖息地的经济社会活动和生产方式。防止生态建设导致栖息环境的改变。加强对外来物种入侵的控制，禁止在生物多样性保护功能区引进外来物种。加强生物多样性资源调查与监测，保护和修复自然生态系统和重要物种栖息地，实施生物多样性保护工程。</w:t>
            </w:r>
          </w:p>
          <w:p>
            <w:pPr>
              <w:pStyle w:val="27"/>
              <w:ind w:firstLine="0" w:firstLineChars="0"/>
              <w:rPr>
                <w:rFonts w:hint="default" w:eastAsiaTheme="minorEastAsia"/>
                <w:color w:val="auto"/>
                <w:highlight w:val="none"/>
              </w:rPr>
            </w:pPr>
            <w:r>
              <w:rPr>
                <w:rFonts w:hint="default" w:eastAsiaTheme="minorEastAsia"/>
                <w:color w:val="auto"/>
                <w:highlight w:val="none"/>
                <w:lang w:val="en-US" w:eastAsia="zh-CN"/>
              </w:rPr>
              <w:t>5．</w:t>
            </w:r>
            <w:r>
              <w:rPr>
                <w:rFonts w:hint="default" w:eastAsiaTheme="minorEastAsia"/>
                <w:color w:val="auto"/>
                <w:highlight w:val="none"/>
              </w:rPr>
              <w:t>依据《国家级公益林管理办法》（林资发〔2017〕34号）进行管理，严格控制勘查、开采矿藏和工程建设使用国家级公益林地。确需使用的，严格按照《建设项目使用林地审核审批管理办法》有关规定办理使用林地手续。涉及林木采伐的，按相关规定依法办理林木采伐手续。经审核审批同意使用的国家级公益林地，可按规定实行占补平衡。一级国家级公益林原则上不得开展生产经营活动，严禁打枝、采脂、割漆、剥树皮、掘根等行为。二级国家级公益林在不影响整体森林生态系统功能发挥的前提下，可以按照相关技术规程的规定开展抚育和更新性质的采伐。在不破坏森林植被的前提下，可以合理利用其林地资源，适度开展林下种植养殖和森林游憩等非木质资源开发与利用，科学发展林下经济。</w:t>
            </w:r>
          </w:p>
          <w:p>
            <w:pPr>
              <w:pStyle w:val="27"/>
              <w:ind w:firstLine="0" w:firstLineChars="0"/>
              <w:rPr>
                <w:rFonts w:hint="default" w:eastAsiaTheme="minorEastAsia"/>
                <w:color w:val="auto"/>
                <w:highlight w:val="none"/>
              </w:rPr>
            </w:pPr>
            <w:r>
              <w:rPr>
                <w:rFonts w:hint="default" w:eastAsiaTheme="minorEastAsia"/>
                <w:color w:val="auto"/>
                <w:highlight w:val="none"/>
                <w:lang w:val="en-US" w:eastAsia="zh-CN"/>
              </w:rPr>
              <w:t>6．</w:t>
            </w:r>
            <w:r>
              <w:rPr>
                <w:rFonts w:hint="default" w:eastAsiaTheme="minorEastAsia"/>
                <w:color w:val="auto"/>
                <w:highlight w:val="none"/>
              </w:rPr>
              <w:t>对所有</w:t>
            </w:r>
            <w:r>
              <w:rPr>
                <w:rFonts w:hint="eastAsia" w:eastAsiaTheme="minorEastAsia"/>
                <w:color w:val="auto"/>
                <w:highlight w:val="none"/>
                <w:lang w:eastAsia="zh-CN"/>
              </w:rPr>
              <w:t>天然林</w:t>
            </w:r>
            <w:r>
              <w:rPr>
                <w:rFonts w:hint="default" w:eastAsiaTheme="minorEastAsia"/>
                <w:color w:val="auto"/>
                <w:highlight w:val="none"/>
              </w:rPr>
              <w:t>实行保护，禁止毁林开垦、将天然林改造为人工林以及其他破坏天然林及其生态环境的行为。对纳入保护重点区域的天然林，除森林病虫害防治、森林防火等维护天然林生态系统健康的必要措施外，禁止其他一切生产经营活动。开展天然林抚育作业的，必须编制作业设计，经林业主管部门审查批准后实施。严格控制天然林地转为其他用途，除国防建设、国家重大工程项目建设特色需要外，禁止占用保护重点区域的天然林地。在不破坏地表植被、不影响生物多样性保护前提下，可在天然林地适度发展生态旅游、休闲康养、特色种植养殖产业。</w:t>
            </w:r>
          </w:p>
          <w:p>
            <w:pPr>
              <w:pStyle w:val="27"/>
              <w:rPr>
                <w:rFonts w:hint="default" w:eastAsiaTheme="minorEastAsia"/>
                <w:color w:val="auto"/>
                <w:highlight w:val="none"/>
              </w:rPr>
            </w:pPr>
            <w:r>
              <w:rPr>
                <w:rFonts w:hint="default" w:eastAsiaTheme="minorEastAsia"/>
                <w:color w:val="auto"/>
                <w:highlight w:val="none"/>
                <w:lang w:val="en-US" w:eastAsia="zh-CN"/>
              </w:rPr>
              <w:t>7．大气一类功能区禁止新建、改建、扩建排放大气污染物的工业企业；筛查大气一类功能区是否存在大气污染物排放工业企业，对区域内已建涉大气污染物排放企业限期搬迁或依法关闭。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25"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eastAsiaTheme="minorEastAsia"/>
                <w:color w:val="auto"/>
                <w:highlight w:val="none"/>
                <w:lang w:bidi="ar"/>
              </w:rPr>
            </w:pPr>
            <w:r>
              <w:rPr>
                <w:rFonts w:hint="default" w:eastAsiaTheme="minorEastAsia"/>
                <w:color w:val="auto"/>
                <w:highlight w:val="none"/>
                <w:lang w:bidi="ar"/>
              </w:rPr>
              <w:t>ZH45020420001</w:t>
            </w:r>
          </w:p>
        </w:tc>
        <w:tc>
          <w:tcPr>
            <w:tcW w:w="1986"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bidi="ar"/>
              </w:rPr>
            </w:pPr>
            <w:r>
              <w:rPr>
                <w:rFonts w:hint="default" w:eastAsiaTheme="minorEastAsia"/>
                <w:color w:val="auto"/>
                <w:highlight w:val="none"/>
                <w:lang w:bidi="ar"/>
              </w:rPr>
              <w:t>广西柳州河西高新技术产业开发区重点管控单元</w:t>
            </w:r>
          </w:p>
        </w:tc>
        <w:tc>
          <w:tcPr>
            <w:tcW w:w="1160"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r>
              <w:rPr>
                <w:rFonts w:hint="default" w:ascii="Times New Roman" w:hAnsi="Times New Roman" w:cs="Times New Roman" w:eastAsiaTheme="minorEastAsia"/>
                <w:strike w:val="0"/>
                <w:dstrike w:val="0"/>
                <w:color w:val="auto"/>
                <w:highlight w:val="none"/>
                <w:lang w:bidi="ar"/>
              </w:rPr>
              <w:t>重点管控单元</w:t>
            </w:r>
          </w:p>
        </w:tc>
        <w:tc>
          <w:tcPr>
            <w:tcW w:w="117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33" w:type="dxa"/>
            <w:shd w:val="clear" w:color="auto" w:fill="auto"/>
            <w:vAlign w:val="center"/>
          </w:tcPr>
          <w:p>
            <w:pPr>
              <w:pStyle w:val="27"/>
              <w:spacing w:line="400" w:lineRule="exact"/>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1．</w:t>
            </w:r>
            <w:r>
              <w:rPr>
                <w:rFonts w:hint="default" w:ascii="Times New Roman" w:hAnsi="Times New Roman" w:eastAsia="宋体" w:cs="Times New Roman"/>
                <w:strike w:val="0"/>
                <w:dstrike w:val="0"/>
                <w:color w:val="auto"/>
                <w:sz w:val="21"/>
                <w:szCs w:val="21"/>
                <w:highlight w:val="none"/>
              </w:rPr>
              <w:t>入园项目必须符合国家、自治区产业政策、供地政策及园区产业定位。</w:t>
            </w:r>
          </w:p>
          <w:p>
            <w:pPr>
              <w:pStyle w:val="27"/>
              <w:keepNext w:val="0"/>
              <w:keepLines w:val="0"/>
              <w:suppressLineNumbers w:val="0"/>
              <w:spacing w:before="0" w:beforeAutospacing="0" w:after="0" w:afterAutospacing="0"/>
              <w:ind w:left="0" w:right="0"/>
              <w:rPr>
                <w:rFonts w:hint="default" w:ascii="Times New Roman" w:hAnsi="Times New Roman" w:eastAsia="方正小标宋"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lang w:val="en-US" w:eastAsia="zh-CN"/>
              </w:rPr>
              <w:t>2</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方正小标宋" w:cs="Times New Roman"/>
                <w:strike w:val="0"/>
                <w:dstrike w:val="0"/>
                <w:color w:val="auto"/>
                <w:sz w:val="21"/>
                <w:szCs w:val="21"/>
                <w:highlight w:val="none"/>
              </w:rPr>
              <w:t>禁止引进化工、冶金等重污染项目。</w:t>
            </w:r>
            <w:r>
              <w:rPr>
                <w:rFonts w:hint="default" w:ascii="Times New Roman" w:hAnsi="Times New Roman" w:eastAsia="方正小标宋" w:cs="Times New Roman"/>
                <w:color w:val="auto"/>
                <w:sz w:val="21"/>
                <w:szCs w:val="21"/>
                <w:highlight w:val="none"/>
                <w:lang w:val="en-US" w:eastAsia="zh-CN"/>
              </w:rPr>
              <w:t>紧临近居住用地的工业用地严格控制引进产生工业废气的企业，尤其是产生</w:t>
            </w:r>
            <w:r>
              <w:rPr>
                <w:rFonts w:hint="default" w:ascii="Times New Roman" w:hAnsi="Times New Roman" w:eastAsia="方正小标宋" w:cs="Times New Roman"/>
                <w:strike w:val="0"/>
                <w:dstrike w:val="0"/>
                <w:color w:val="auto"/>
                <w:sz w:val="21"/>
                <w:szCs w:val="21"/>
                <w:highlight w:val="none"/>
              </w:rPr>
              <w:t>挥发性有机物（VOCs）</w:t>
            </w:r>
            <w:r>
              <w:rPr>
                <w:rFonts w:hint="default" w:ascii="Times New Roman" w:hAnsi="Times New Roman" w:eastAsia="方正小标宋" w:cs="Times New Roman"/>
                <w:color w:val="auto"/>
                <w:sz w:val="21"/>
                <w:szCs w:val="21"/>
                <w:highlight w:val="none"/>
                <w:lang w:val="en-US" w:eastAsia="zh-CN"/>
              </w:rPr>
              <w:t>的企业。</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eastAsia="方正小标宋" w:cs="Times New Roman"/>
                <w:strike w:val="0"/>
                <w:dstrike w:val="0"/>
                <w:color w:val="auto"/>
                <w:sz w:val="21"/>
                <w:szCs w:val="21"/>
                <w:highlight w:val="none"/>
                <w:lang w:val="en-US" w:eastAsia="zh-CN"/>
              </w:rPr>
              <w:t>3</w:t>
            </w:r>
            <w:r>
              <w:rPr>
                <w:rFonts w:hint="default" w:ascii="Times New Roman" w:hAnsi="Times New Roman" w:eastAsia="方正小标宋" w:cs="Times New Roman"/>
                <w:strike w:val="0"/>
                <w:dstrike w:val="0"/>
                <w:color w:val="auto"/>
                <w:sz w:val="21"/>
                <w:szCs w:val="21"/>
                <w:highlight w:val="none"/>
                <w:lang w:eastAsia="zh-CN"/>
              </w:rPr>
              <w:t>．</w:t>
            </w:r>
            <w:r>
              <w:rPr>
                <w:rFonts w:hint="default" w:ascii="Times New Roman" w:hAnsi="Times New Roman" w:eastAsia="方正小标宋" w:cs="Times New Roman"/>
                <w:strike w:val="0"/>
                <w:dstrike w:val="0"/>
                <w:color w:val="auto"/>
                <w:sz w:val="21"/>
                <w:szCs w:val="21"/>
                <w:highlight w:val="none"/>
              </w:rPr>
              <w:t>居住用地周边严</w:t>
            </w:r>
            <w:r>
              <w:rPr>
                <w:rFonts w:hint="default" w:ascii="Times New Roman" w:hAnsi="Times New Roman" w:eastAsia="宋体" w:cs="Times New Roman"/>
                <w:strike w:val="0"/>
                <w:dstrike w:val="0"/>
                <w:color w:val="auto"/>
                <w:sz w:val="21"/>
                <w:szCs w:val="21"/>
                <w:highlight w:val="none"/>
              </w:rPr>
              <w:t>控布局潜在污染扰民和环境风险突出的建设项目。靠近居住用地的工业用地建议规划用作企业的办公用地，</w:t>
            </w:r>
            <w:r>
              <w:rPr>
                <w:rFonts w:hint="default" w:ascii="Times New Roman" w:hAnsi="Times New Roman" w:eastAsia="宋体" w:cs="Times New Roman"/>
                <w:color w:val="auto"/>
                <w:sz w:val="21"/>
                <w:highlight w:val="none"/>
                <w:lang w:val="en-US" w:eastAsia="zh-CN"/>
              </w:rPr>
              <w:t>不宜引进有喷漆、烘干工序、以及需设置噪声或者大气防护距离要求的企业</w:t>
            </w:r>
            <w:r>
              <w:rPr>
                <w:rFonts w:hint="default" w:ascii="Times New Roman" w:hAnsi="Times New Roman" w:eastAsia="宋体" w:cs="Times New Roman"/>
                <w:strike w:val="0"/>
                <w:dstrike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325"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986"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bidi="ar"/>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17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333"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1</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完善园区集中供热设施，积极推广集中供热，有条件的工业聚集区建设集中喷涂工程中心，配备高效治污设施，替代企业独立喷涂工序。</w:t>
            </w:r>
          </w:p>
          <w:p>
            <w:pPr>
              <w:pStyle w:val="27"/>
              <w:keepNext w:val="0"/>
              <w:keepLines w:val="0"/>
              <w:suppressLineNumbers w:val="0"/>
              <w:spacing w:before="0" w:beforeAutospacing="0" w:after="0" w:afterAutospacing="0"/>
              <w:ind w:left="0" w:right="0"/>
              <w:jc w:val="both"/>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2</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推动重点行业挥发性有机物（VOCs）污染防治，强化企业精细化管控、无组织废气排放控制以及高效治污设施建设，严格控制挥发性有机污染物排放。</w:t>
            </w:r>
          </w:p>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3</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完善工业园区污水集中处理设施和配套管网。实行“清污分流、雨污分流”，实现废水分类收集、分质处理，入园企业</w:t>
            </w:r>
            <w:r>
              <w:rPr>
                <w:rFonts w:hint="default" w:ascii="Times New Roman" w:hAnsi="Times New Roman" w:cs="Times New Roman"/>
                <w:strike w:val="0"/>
                <w:dstrike w:val="0"/>
                <w:color w:val="auto"/>
                <w:sz w:val="21"/>
                <w:szCs w:val="21"/>
                <w:highlight w:val="none"/>
                <w:lang w:eastAsia="zh-CN"/>
              </w:rPr>
              <w:t>应在</w:t>
            </w:r>
            <w:r>
              <w:rPr>
                <w:rFonts w:hint="default" w:ascii="Times New Roman" w:hAnsi="Times New Roman" w:eastAsia="宋体" w:cs="Times New Roman"/>
                <w:strike w:val="0"/>
                <w:dstrike w:val="0"/>
                <w:color w:val="auto"/>
                <w:sz w:val="21"/>
                <w:szCs w:val="21"/>
                <w:highlight w:val="none"/>
              </w:rPr>
              <w:t>达到国家或地方规定的排放标准</w:t>
            </w:r>
            <w:r>
              <w:rPr>
                <w:rFonts w:hint="default" w:ascii="Times New Roman" w:hAnsi="Times New Roman" w:cs="Times New Roman"/>
                <w:strike w:val="0"/>
                <w:dstrike w:val="0"/>
                <w:color w:val="auto"/>
                <w:sz w:val="21"/>
                <w:szCs w:val="21"/>
                <w:highlight w:val="none"/>
                <w:lang w:eastAsia="zh-CN"/>
              </w:rPr>
              <w:t>或达到运营单位与纳管企业约定的水质水量后，</w:t>
            </w:r>
            <w:r>
              <w:rPr>
                <w:rFonts w:hint="default" w:ascii="Times New Roman" w:hAnsi="Times New Roman" w:eastAsia="宋体" w:cs="Times New Roman"/>
                <w:strike w:val="0"/>
                <w:dstrike w:val="0"/>
                <w:color w:val="auto"/>
                <w:sz w:val="21"/>
                <w:szCs w:val="21"/>
                <w:highlight w:val="none"/>
              </w:rPr>
              <w:t>接入集中式污水处理设施处理</w:t>
            </w:r>
            <w:r>
              <w:rPr>
                <w:rFonts w:hint="default" w:ascii="Times New Roman" w:hAnsi="Times New Roman" w:eastAsia="宋体" w:cs="Times New Roman"/>
                <w:color w:val="auto"/>
                <w:kern w:val="0"/>
                <w:sz w:val="21"/>
                <w:szCs w:val="21"/>
                <w:highlight w:val="none"/>
                <w:lang w:bidi="ar"/>
              </w:rPr>
              <w:t>并实时监控。</w:t>
            </w:r>
          </w:p>
          <w:p>
            <w:pPr>
              <w:pStyle w:val="27"/>
              <w:keepNext w:val="0"/>
              <w:keepLines w:val="0"/>
              <w:suppressLineNumbers w:val="0"/>
              <w:spacing w:before="0" w:beforeAutospacing="0" w:after="0" w:afterAutospacing="0"/>
              <w:ind w:left="0" w:leftChars="0" w:right="0" w:rightChars="0"/>
              <w:jc w:val="both"/>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sz w:val="21"/>
                <w:szCs w:val="21"/>
                <w:highlight w:val="none"/>
                <w:lang w:val="en-US" w:eastAsia="zh-CN"/>
              </w:rPr>
              <w:t>4</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矿产资源勘查以及采选过程中排土场、露天采场、尾矿库、矿区专用道路、矿山工业场地、沉陷区、矸石场、矿山污染场地等的生态环境保护与治理恢复工作须满足</w:t>
            </w:r>
            <w:r>
              <w:rPr>
                <w:rFonts w:hint="default" w:cs="Times New Roman"/>
                <w:strike w:val="0"/>
                <w:dstrike w:val="0"/>
                <w:color w:val="auto"/>
                <w:sz w:val="21"/>
                <w:szCs w:val="21"/>
                <w:highlight w:val="none"/>
                <w:lang w:eastAsia="zh-CN"/>
              </w:rPr>
              <w:t>《矿山生态环境保护与恢复治理技术规范（试行）》</w:t>
            </w:r>
            <w:r>
              <w:rPr>
                <w:rFonts w:hint="default" w:ascii="Times New Roman" w:hAnsi="Times New Roman" w:eastAsia="宋体" w:cs="Times New Roman"/>
                <w:strike w:val="0"/>
                <w:dstrike w:val="0"/>
                <w:color w:val="auto"/>
                <w:sz w:val="21"/>
                <w:szCs w:val="21"/>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1325"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986"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bidi="ar"/>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17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333" w:type="dxa"/>
            <w:shd w:val="clear" w:color="auto" w:fill="auto"/>
            <w:vAlign w:val="center"/>
          </w:tcPr>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sz w:val="21"/>
                <w:szCs w:val="21"/>
                <w:highlight w:val="none"/>
              </w:rPr>
              <w:t>开展环境风险评估，制定突发环境事件应急预案并备案，配备应急能力和物资，建设环境应急队伍，并定期演练。企业、园区与地方人民政府环境应急预案应当有机衔接。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325"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986"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bidi="ar"/>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17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eastAsia="zh-CN"/>
              </w:rPr>
            </w:pPr>
            <w:r>
              <w:rPr>
                <w:rFonts w:hint="default" w:cs="Times New Roman" w:eastAsiaTheme="minorEastAsia"/>
                <w:strike w:val="0"/>
                <w:dstrike w:val="0"/>
                <w:color w:val="auto"/>
                <w:highlight w:val="none"/>
                <w:lang w:eastAsia="zh-CN"/>
              </w:rPr>
              <w:t>资源开发利用效率要求</w:t>
            </w:r>
          </w:p>
        </w:tc>
        <w:tc>
          <w:tcPr>
            <w:tcW w:w="8333" w:type="dxa"/>
            <w:shd w:val="clear" w:color="auto" w:fill="auto"/>
            <w:vAlign w:val="center"/>
          </w:tcPr>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sz w:val="21"/>
                <w:szCs w:val="21"/>
                <w:highlight w:val="none"/>
                <w:lang w:eastAsia="zh-CN"/>
              </w:rPr>
              <w:t>高污染燃料禁燃区</w:t>
            </w:r>
            <w:r>
              <w:rPr>
                <w:rFonts w:hint="default" w:ascii="Times New Roman" w:hAnsi="Times New Roman" w:eastAsia="宋体" w:cs="Times New Roman"/>
                <w:strike w:val="0"/>
                <w:dstrike w:val="0"/>
                <w:color w:val="auto"/>
                <w:sz w:val="21"/>
                <w:szCs w:val="21"/>
                <w:highlight w:val="none"/>
              </w:rPr>
              <w:t>内禁止销售</w:t>
            </w:r>
            <w:r>
              <w:rPr>
                <w:rFonts w:hint="default" w:cs="Times New Roman"/>
                <w:strike w:val="0"/>
                <w:dstrike w:val="0"/>
                <w:color w:val="auto"/>
                <w:sz w:val="21"/>
                <w:szCs w:val="21"/>
                <w:highlight w:val="none"/>
                <w:lang w:eastAsia="zh-CN"/>
              </w:rPr>
              <w:t>和使用</w:t>
            </w:r>
            <w:r>
              <w:rPr>
                <w:rFonts w:hint="default" w:ascii="Times New Roman" w:hAnsi="Times New Roman" w:eastAsia="宋体" w:cs="Times New Roman"/>
                <w:strike w:val="0"/>
                <w:dstrike w:val="0"/>
                <w:color w:val="auto"/>
                <w:sz w:val="21"/>
                <w:szCs w:val="21"/>
                <w:highlight w:val="none"/>
              </w:rPr>
              <w:t>高污染燃料。禁止新建、扩建燃用高污染燃料的锅炉、工业窑炉、炉灶等燃烧设施。已建成的，应当在辖区人民政府规定的期限内改用天然气、液化石油气、电或者</w:t>
            </w:r>
            <w:r>
              <w:rPr>
                <w:rFonts w:hint="default" w:ascii="Times New Roman" w:hAnsi="Times New Roman" w:cs="Times New Roman"/>
                <w:strike w:val="0"/>
                <w:dstrike w:val="0"/>
                <w:color w:val="auto"/>
                <w:sz w:val="21"/>
                <w:szCs w:val="21"/>
                <w:highlight w:val="none"/>
                <w:lang w:eastAsia="zh-CN"/>
              </w:rPr>
              <w:t>其他</w:t>
            </w:r>
            <w:r>
              <w:rPr>
                <w:rFonts w:hint="default" w:ascii="Times New Roman" w:hAnsi="Times New Roman" w:eastAsia="宋体" w:cs="Times New Roman"/>
                <w:strike w:val="0"/>
                <w:dstrike w:val="0"/>
                <w:color w:val="auto"/>
                <w:sz w:val="21"/>
                <w:szCs w:val="21"/>
                <w:highlight w:val="none"/>
              </w:rPr>
              <w:t>清洁能源。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7" w:hRule="atLeast"/>
          <w:jc w:val="center"/>
        </w:trPr>
        <w:tc>
          <w:tcPr>
            <w:tcW w:w="1325"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r>
              <w:rPr>
                <w:rFonts w:hint="default" w:eastAsiaTheme="minorEastAsia"/>
                <w:color w:val="auto"/>
                <w:highlight w:val="none"/>
                <w:lang w:bidi="ar"/>
              </w:rPr>
              <w:t>ZH45020420002</w:t>
            </w:r>
          </w:p>
        </w:tc>
        <w:tc>
          <w:tcPr>
            <w:tcW w:w="1986"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bidi="ar"/>
              </w:rPr>
            </w:pPr>
            <w:r>
              <w:rPr>
                <w:rFonts w:hint="default" w:eastAsiaTheme="minorEastAsia"/>
                <w:color w:val="auto"/>
                <w:highlight w:val="none"/>
                <w:lang w:bidi="ar"/>
              </w:rPr>
              <w:t>柳南区城镇空间重点管控单元</w:t>
            </w:r>
          </w:p>
        </w:tc>
        <w:tc>
          <w:tcPr>
            <w:tcW w:w="1160"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r>
              <w:rPr>
                <w:rFonts w:hint="default" w:ascii="Times New Roman" w:hAnsi="Times New Roman" w:cs="Times New Roman" w:eastAsiaTheme="minorEastAsia"/>
                <w:strike w:val="0"/>
                <w:dstrike w:val="0"/>
                <w:color w:val="auto"/>
                <w:highlight w:val="none"/>
                <w:lang w:bidi="ar"/>
              </w:rPr>
              <w:t>重点管控单元</w:t>
            </w:r>
          </w:p>
        </w:tc>
        <w:tc>
          <w:tcPr>
            <w:tcW w:w="117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33" w:type="dxa"/>
            <w:shd w:val="clear" w:color="auto" w:fill="auto"/>
            <w:vAlign w:val="center"/>
          </w:tcPr>
          <w:p>
            <w:pPr>
              <w:pStyle w:val="27"/>
              <w:keepNext w:val="0"/>
              <w:keepLines w:val="0"/>
              <w:suppressLineNumbers w:val="0"/>
              <w:spacing w:before="0" w:beforeAutospacing="0" w:after="0" w:afterAutospacing="0"/>
              <w:ind w:left="0" w:right="0"/>
              <w:rPr>
                <w:rFonts w:hint="default" w:cs="Times New Roman" w:eastAsiaTheme="minorEastAsia"/>
                <w:strike w:val="0"/>
                <w:dstrike w:val="0"/>
                <w:color w:val="auto"/>
                <w:highlight w:val="none"/>
                <w:lang w:val="en-US" w:eastAsia="zh-CN"/>
              </w:rPr>
            </w:pPr>
            <w:r>
              <w:rPr>
                <w:rFonts w:hint="eastAsia"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．城市建成区内的钢铁、石油、化工、有色金属、水泥、平板玻璃、建筑陶瓷、砖瓦等行业中的高排放、高污染项目，应当逐步进行搬迁、改造或者转型、退出。</w:t>
            </w:r>
          </w:p>
          <w:p>
            <w:pPr>
              <w:pStyle w:val="27"/>
              <w:keepNext w:val="0"/>
              <w:keepLines w:val="0"/>
              <w:suppressLineNumbers w:val="0"/>
              <w:spacing w:before="0" w:beforeAutospacing="0" w:after="0" w:afterAutospacing="0"/>
              <w:ind w:left="0" w:right="0"/>
              <w:rPr>
                <w:rFonts w:hint="default" w:eastAsiaTheme="minorEastAsia"/>
                <w:color w:val="auto"/>
                <w:highlight w:val="none"/>
                <w:lang w:val="en-US" w:eastAsia="zh-CN"/>
              </w:rPr>
            </w:pPr>
            <w:r>
              <w:rPr>
                <w:rFonts w:hint="eastAsia"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．城市市区、镇和村庄居民区、文化教育科学研究区等人口集中区域禁止设置畜禽养殖场、养殖小区。</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与饮用水水源保护区二级保护区重叠部分依据《广西壮族自治区饮用水水源保护条例》进行管理。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3" w:hRule="atLeast"/>
          <w:jc w:val="center"/>
        </w:trPr>
        <w:tc>
          <w:tcPr>
            <w:tcW w:w="1325"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986"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bidi="ar"/>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17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333" w:type="dxa"/>
            <w:shd w:val="clear" w:color="auto" w:fill="auto"/>
            <w:vAlign w:val="center"/>
          </w:tcPr>
          <w:p>
            <w:pPr>
              <w:pStyle w:val="27"/>
              <w:keepNext w:val="0"/>
              <w:keepLines w:val="0"/>
              <w:suppressLineNumbers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color w:val="auto"/>
                <w:highlight w:val="none"/>
                <w:lang w:val="en-US" w:eastAsia="zh-CN"/>
              </w:rPr>
              <w:t>加大燃煤小锅炉淘汰力度。依法依规加快淘汰老旧柴油货车。严格控制施工和道路扬尘污染。禁止露天焚烧</w:t>
            </w:r>
            <w:r>
              <w:rPr>
                <w:rFonts w:hint="default" w:ascii="Times New Roman" w:hAnsi="Times New Roman" w:cs="Times New Roman" w:eastAsiaTheme="minorEastAsia"/>
                <w:strike w:val="0"/>
                <w:dstrike w:val="0"/>
                <w:color w:val="auto"/>
                <w:highlight w:val="none"/>
                <w:lang w:val="en-US" w:eastAsia="zh-CN"/>
              </w:rPr>
              <w:t>产生</w:t>
            </w:r>
            <w:r>
              <w:rPr>
                <w:rFonts w:hint="default"/>
                <w:color w:val="auto"/>
                <w:highlight w:val="none"/>
                <w:lang w:val="en-US" w:eastAsia="zh-CN"/>
              </w:rPr>
              <w:t>有毒有害烟尘和恶臭气体的物质。鼓励建筑装修、汽修喷涂作业、干洗等行业，使用低毒、低挥发性溶剂。</w:t>
            </w:r>
          </w:p>
          <w:p>
            <w:pPr>
              <w:pStyle w:val="27"/>
              <w:keepNext w:val="0"/>
              <w:keepLines w:val="0"/>
              <w:suppressLineNumbers w:val="0"/>
              <w:spacing w:before="0" w:beforeAutospacing="0" w:after="0" w:afterAutospacing="0"/>
              <w:ind w:left="0" w:right="0"/>
              <w:rPr>
                <w:rFonts w:hint="default"/>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cs="Times New Roman" w:eastAsiaTheme="minorEastAsia"/>
                <w:strike w:val="0"/>
                <w:dstrike w:val="0"/>
                <w:color w:val="auto"/>
                <w:highlight w:val="none"/>
                <w:lang w:eastAsia="zh-CN"/>
              </w:rPr>
              <w:t>城市建成区基本</w:t>
            </w:r>
            <w:r>
              <w:rPr>
                <w:rFonts w:hint="default" w:ascii="Times New Roman" w:hAnsi="Times New Roman" w:cs="Times New Roman" w:eastAsiaTheme="minorEastAsia"/>
                <w:strike w:val="0"/>
                <w:dstrike w:val="0"/>
                <w:color w:val="auto"/>
                <w:highlight w:val="none"/>
                <w:lang w:eastAsia="zh-CN"/>
              </w:rPr>
              <w:t>消除生活污水直排口，有效杜绝污水直排水体。</w:t>
            </w:r>
          </w:p>
          <w:p>
            <w:pPr>
              <w:pStyle w:val="27"/>
              <w:keepNext w:val="0"/>
              <w:keepLines w:val="0"/>
              <w:suppressLineNumbers w:val="0"/>
              <w:spacing w:before="0" w:beforeAutospacing="0" w:after="0" w:afterAutospacing="0"/>
              <w:ind w:left="0" w:right="0"/>
              <w:rPr>
                <w:rFonts w:hint="default"/>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．提高污水处理能力，完善既有污水处理厂和新建、扩建污水处理厂配套管网建设，基本实现城中村、老旧城区和城乡结合部生活污水收集处理。</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2" w:hRule="atLeast"/>
          <w:jc w:val="center"/>
        </w:trPr>
        <w:tc>
          <w:tcPr>
            <w:tcW w:w="1325"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986"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bidi="ar"/>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17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333"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7" w:hRule="atLeast"/>
          <w:jc w:val="center"/>
        </w:trPr>
        <w:tc>
          <w:tcPr>
            <w:tcW w:w="1325"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986"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bidi="ar"/>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174"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lang w:eastAsia="zh-CN"/>
              </w:rPr>
            </w:pPr>
            <w:r>
              <w:rPr>
                <w:rFonts w:hint="default" w:cs="Times New Roman" w:eastAsiaTheme="minorEastAsia"/>
                <w:strike w:val="0"/>
                <w:dstrike w:val="0"/>
                <w:color w:val="auto"/>
                <w:highlight w:val="none"/>
                <w:lang w:eastAsia="zh-CN"/>
              </w:rPr>
              <w:t>资源开发利用效率要求</w:t>
            </w:r>
          </w:p>
        </w:tc>
        <w:tc>
          <w:tcPr>
            <w:tcW w:w="8333" w:type="dxa"/>
            <w:shd w:val="clear" w:color="auto" w:fill="auto"/>
            <w:vAlign w:val="center"/>
          </w:tcPr>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color w:val="auto"/>
                <w:highlight w:val="none"/>
                <w:lang w:val="en-US" w:eastAsia="zh-CN"/>
              </w:rPr>
              <w:t>禁燃区内禁止销售、使用原煤等高污染燃料，</w:t>
            </w:r>
            <w:r>
              <w:rPr>
                <w:rFonts w:hint="default" w:ascii="Times New Roman" w:hAnsi="Times New Roman" w:cs="Times New Roman" w:eastAsiaTheme="minorEastAsia"/>
                <w:strike w:val="0"/>
                <w:dstrike w:val="0"/>
                <w:color w:val="auto"/>
                <w:highlight w:val="none"/>
                <w:lang w:val="en-US" w:eastAsia="zh-CN"/>
              </w:rPr>
              <w:t>现有</w:t>
            </w:r>
            <w:r>
              <w:rPr>
                <w:rFonts w:hint="default"/>
                <w:color w:val="auto"/>
                <w:highlight w:val="none"/>
                <w:lang w:val="en-US" w:eastAsia="zh-CN"/>
              </w:rPr>
              <w:t>燃用高污染燃料的设施应在规定期限内停止燃用高污染燃料，改用天然气、液化石油气、电</w:t>
            </w:r>
            <w:r>
              <w:rPr>
                <w:rFonts w:hint="default" w:ascii="Times New Roman" w:hAnsi="Times New Roman" w:cs="Times New Roman" w:eastAsiaTheme="minorEastAsia"/>
                <w:strike w:val="0"/>
                <w:dstrike w:val="0"/>
                <w:color w:val="auto"/>
                <w:highlight w:val="none"/>
                <w:lang w:val="en-US" w:eastAsia="zh-CN"/>
              </w:rPr>
              <w:t>或者其他清洁能源，其余按照《柳州市人民政府关于划定柳州市高污染燃料禁燃区的通告》要求实施管理</w:t>
            </w:r>
            <w:r>
              <w:rPr>
                <w:rFonts w:hint="default"/>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7" w:hRule="atLeast"/>
          <w:jc w:val="center"/>
        </w:trPr>
        <w:tc>
          <w:tcPr>
            <w:tcW w:w="1325"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r>
              <w:rPr>
                <w:rFonts w:hint="default" w:eastAsiaTheme="minorEastAsia"/>
                <w:color w:val="auto"/>
                <w:highlight w:val="none"/>
                <w:lang w:bidi="ar"/>
              </w:rPr>
              <w:t>ZH45020420003</w:t>
            </w:r>
          </w:p>
        </w:tc>
        <w:tc>
          <w:tcPr>
            <w:tcW w:w="1986"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bidi="ar"/>
              </w:rPr>
            </w:pPr>
            <w:commentRangeStart w:id="3"/>
            <w:r>
              <w:rPr>
                <w:rFonts w:hint="default" w:eastAsiaTheme="minorEastAsia"/>
                <w:color w:val="auto"/>
                <w:highlight w:val="none"/>
                <w:lang w:bidi="ar"/>
              </w:rPr>
              <w:t>柳南区其他重点管控单元</w:t>
            </w:r>
            <w:commentRangeEnd w:id="3"/>
            <w:r>
              <w:rPr>
                <w:highlight w:val="none"/>
              </w:rPr>
              <w:commentReference w:id="3"/>
            </w:r>
          </w:p>
        </w:tc>
        <w:tc>
          <w:tcPr>
            <w:tcW w:w="1160"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r>
              <w:rPr>
                <w:rFonts w:hint="default" w:ascii="Times New Roman" w:hAnsi="Times New Roman" w:cs="Times New Roman" w:eastAsiaTheme="minorEastAsia"/>
                <w:strike w:val="0"/>
                <w:dstrike w:val="0"/>
                <w:color w:val="auto"/>
                <w:highlight w:val="none"/>
                <w:lang w:bidi="ar"/>
              </w:rPr>
              <w:t>重点管控单元</w:t>
            </w:r>
          </w:p>
        </w:tc>
        <w:tc>
          <w:tcPr>
            <w:tcW w:w="117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33"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规划产业园区应当依法依规进行审批。新建企业原则上均应建在产业园区。</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居住用地周边严控布局潜在污染扰民和环境风险突出的建设项目。</w:t>
            </w:r>
            <w:r>
              <w:rPr>
                <w:rFonts w:hint="default" w:ascii="Times New Roman" w:hAnsi="Times New Roman" w:cs="Times New Roman" w:eastAsiaTheme="minorEastAsia"/>
                <w:b w:val="0"/>
                <w:strike w:val="0"/>
                <w:dstrike w:val="0"/>
                <w:color w:val="auto"/>
                <w:highlight w:val="none"/>
              </w:rPr>
              <w:t>禁止</w:t>
            </w:r>
            <w:r>
              <w:rPr>
                <w:rFonts w:hint="default" w:ascii="Times New Roman" w:hAnsi="Times New Roman" w:cs="Times New Roman" w:eastAsiaTheme="minorEastAsia"/>
                <w:strike w:val="0"/>
                <w:dstrike w:val="0"/>
                <w:color w:val="auto"/>
                <w:highlight w:val="none"/>
              </w:rPr>
              <w:t>在居民区和学校、医院、疗养院、养老院等单位周边新建、改建、扩建可能造成土壤污染的建设项目。</w:t>
            </w:r>
            <w:r>
              <w:rPr>
                <w:rFonts w:hint="default" w:ascii="Times New Roman" w:hAnsi="Times New Roman" w:cs="Times New Roman" w:eastAsiaTheme="minorEastAsia"/>
                <w:b w:val="0"/>
                <w:strike w:val="0"/>
                <w:dstrike w:val="0"/>
                <w:color w:val="auto"/>
                <w:highlight w:val="none"/>
              </w:rPr>
              <w:t>禁止</w:t>
            </w:r>
            <w:r>
              <w:rPr>
                <w:rFonts w:hint="default" w:ascii="Times New Roman" w:hAnsi="Times New Roman" w:cs="Times New Roman" w:eastAsiaTheme="minorEastAsia"/>
                <w:strike w:val="0"/>
                <w:dstrike w:val="0"/>
                <w:color w:val="auto"/>
                <w:highlight w:val="none"/>
              </w:rPr>
              <w:t>在人口聚居区域内新（改、扩）建涉重金属企业。</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临近生态保护红线的工业企业，应采取有效措施，避免产生不利影响。</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与饮用水水源保护区二级保护区重叠部分依据《广西壮族自治区饮用水水源保护条例》进行管理。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1" w:hRule="atLeast"/>
          <w:jc w:val="center"/>
        </w:trPr>
        <w:tc>
          <w:tcPr>
            <w:tcW w:w="1325"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986"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bidi="ar"/>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17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333"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工业企业应当落实大气污染防治要求，采取有效措施，强化企业大气污染物排放精细化管理、无组织废气排放控制以及高效治污设施建设。</w:t>
            </w:r>
          </w:p>
          <w:p>
            <w:pPr>
              <w:pStyle w:val="27"/>
              <w:keepNext w:val="0"/>
              <w:keepLines w:val="0"/>
              <w:numPr>
                <w:ilvl w:val="0"/>
                <w:numId w:val="0"/>
              </w:numPr>
              <w:suppressLineNumbers w:val="0"/>
              <w:spacing w:before="0" w:beforeAutospacing="0" w:after="0" w:afterAutospacing="0"/>
              <w:ind w:right="0" w:rightChars="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rPr>
              <w:t>规划产业园区建设应同步完善污水处理设施及管网建设；园区及园区企业主要污染物排放应控制在区域环境承载能力范围内，确保环境质量达标。</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5" w:hRule="atLeast"/>
          <w:jc w:val="center"/>
        </w:trPr>
        <w:tc>
          <w:tcPr>
            <w:tcW w:w="1325"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986"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bidi="ar"/>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p>
        </w:tc>
        <w:tc>
          <w:tcPr>
            <w:tcW w:w="117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333"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开展环境风险评估，制定突发环境事件应急预案并备案，配备应急能力和物资，建设环境应急队伍，并定期演练。完善区域应急联动机制。</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土壤污染重点监管单位应当严格控制有毒有害物质排放，并按年度向所在地设区的市人民政府生态环境主管部门报告排放情况；建立土壤污染隐患排查制度，保证持续有效防止有毒有害物质渗漏、流失、扬散。</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8" w:hRule="atLeast"/>
          <w:jc w:val="center"/>
        </w:trPr>
        <w:tc>
          <w:tcPr>
            <w:tcW w:w="1325"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r>
              <w:rPr>
                <w:rFonts w:hint="default" w:eastAsiaTheme="minorEastAsia"/>
                <w:color w:val="auto"/>
                <w:highlight w:val="none"/>
                <w:lang w:bidi="ar"/>
              </w:rPr>
              <w:t>ZH45020430001</w:t>
            </w:r>
          </w:p>
        </w:tc>
        <w:tc>
          <w:tcPr>
            <w:tcW w:w="1986"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bidi="ar"/>
              </w:rPr>
            </w:pPr>
            <w:r>
              <w:rPr>
                <w:rFonts w:hint="default" w:eastAsiaTheme="minorEastAsia"/>
                <w:color w:val="auto"/>
                <w:highlight w:val="none"/>
                <w:lang w:bidi="ar"/>
              </w:rPr>
              <w:t>柳南区一般管控单元</w:t>
            </w:r>
          </w:p>
        </w:tc>
        <w:tc>
          <w:tcPr>
            <w:tcW w:w="116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bidi="ar"/>
              </w:rPr>
            </w:pPr>
            <w:r>
              <w:rPr>
                <w:rFonts w:hint="default" w:ascii="Times New Roman" w:hAnsi="Times New Roman" w:cs="Times New Roman" w:eastAsiaTheme="minorEastAsia"/>
                <w:strike w:val="0"/>
                <w:dstrike w:val="0"/>
                <w:color w:val="auto"/>
                <w:highlight w:val="none"/>
                <w:lang w:bidi="ar"/>
              </w:rPr>
              <w:t>一般管控单元</w:t>
            </w:r>
          </w:p>
        </w:tc>
        <w:tc>
          <w:tcPr>
            <w:tcW w:w="117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33"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永久基本农田一经划定，任何单位和个人不得擅自占用或改变用途。禁止任何单位和个人破坏永久基本农田耕作层。对永久基本农田实行严格保护，确保其面积不减少、土壤环境质量不下降，除法律规定的重点建设项目选址确实无法避让外，其他任何建设不得占用。</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在永久基本农田集中区域，不得新建可能造成土壤污染的建设项目；已经建成的，应当限期关闭拆除。</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禁止将重金属或者其他有毒有害物质含量超标的工业固体废物、生活垃圾或者污染土壤用于土地复垦。</w:t>
            </w:r>
          </w:p>
        </w:tc>
      </w:tr>
    </w:tbl>
    <w:p>
      <w:pPr>
        <w:widowControl/>
        <w:jc w:val="left"/>
        <w:rPr>
          <w:rFonts w:hint="default" w:ascii="Times New Roman" w:hAnsi="Times New Roman" w:cs="Times New Roman"/>
          <w:strike w:val="0"/>
          <w:dstrike w:val="0"/>
          <w:color w:val="auto"/>
          <w:highlight w:val="none"/>
        </w:rPr>
      </w:pPr>
      <w:r>
        <w:rPr>
          <w:rFonts w:hint="default" w:ascii="Times New Roman" w:hAnsi="Times New Roman" w:cs="Times New Roman"/>
          <w:strike w:val="0"/>
          <w:dstrike w:val="0"/>
          <w:color w:val="auto"/>
          <w:highlight w:val="none"/>
        </w:rPr>
        <w:br w:type="page"/>
      </w:r>
    </w:p>
    <w:bookmarkEnd w:id="10"/>
    <w:bookmarkEnd w:id="11"/>
    <w:bookmarkEnd w:id="12"/>
    <w:bookmarkEnd w:id="13"/>
    <w:bookmarkEnd w:id="14"/>
    <w:bookmarkEnd w:id="15"/>
    <w:p>
      <w:pPr>
        <w:pStyle w:val="3"/>
        <w:rPr>
          <w:rFonts w:hint="default" w:ascii="Times New Roman" w:hAnsi="Times New Roman" w:cs="Times New Roman"/>
          <w:color w:val="auto"/>
          <w:highlight w:val="none"/>
        </w:rPr>
      </w:pPr>
      <w:bookmarkStart w:id="37" w:name="_Toc19628"/>
      <w:bookmarkStart w:id="38" w:name="_Toc2933"/>
      <w:bookmarkStart w:id="39" w:name="_Toc2754"/>
      <w:bookmarkStart w:id="40" w:name="_Toc12042"/>
      <w:bookmarkStart w:id="41" w:name="_Toc14867"/>
      <w:r>
        <w:rPr>
          <w:rFonts w:hint="default" w:ascii="Times New Roman" w:hAnsi="Times New Roman" w:cs="Times New Roman"/>
          <w:color w:val="auto"/>
          <w:highlight w:val="none"/>
          <w:lang w:val="en-US" w:eastAsia="zh-CN"/>
        </w:rPr>
        <w:t xml:space="preserve">4 </w:t>
      </w:r>
      <w:r>
        <w:rPr>
          <w:rFonts w:hint="default" w:ascii="Times New Roman" w:hAnsi="Times New Roman" w:cs="Times New Roman"/>
          <w:color w:val="auto"/>
          <w:highlight w:val="none"/>
        </w:rPr>
        <w:t>柳北区</w:t>
      </w:r>
      <w:bookmarkEnd w:id="37"/>
      <w:bookmarkEnd w:id="38"/>
      <w:bookmarkEnd w:id="39"/>
      <w:bookmarkEnd w:id="40"/>
      <w:bookmarkEnd w:id="41"/>
    </w:p>
    <w:p>
      <w:pPr>
        <w:pStyle w:val="25"/>
        <w:rPr>
          <w:rFonts w:hint="default" w:ascii="Times New Roman" w:hAnsi="Times New Roman" w:cs="Times New Roman"/>
          <w:color w:val="auto"/>
          <w:highlight w:val="none"/>
        </w:rPr>
      </w:pPr>
      <w:r>
        <w:rPr>
          <w:rFonts w:hint="default" w:ascii="Times New Roman" w:hAnsi="Times New Roman" w:cs="Times New Roman"/>
          <w:strike w:val="0"/>
          <w:dstrike w:val="0"/>
          <w:color w:val="auto"/>
          <w:highlight w:val="none"/>
        </w:rPr>
        <w:t>表</w:t>
      </w:r>
      <w:r>
        <w:rPr>
          <w:rFonts w:hint="default" w:cs="Times New Roman"/>
          <w:color w:val="auto"/>
          <w:highlight w:val="none"/>
          <w:lang w:val="en-US" w:eastAsia="zh-CN"/>
        </w:rPr>
        <w:t>4</w:t>
      </w:r>
      <w:r>
        <w:rPr>
          <w:rFonts w:hint="default" w:ascii="Times New Roman" w:hAnsi="Times New Roman" w:cs="Times New Roman"/>
          <w:color w:val="auto"/>
          <w:highlight w:val="none"/>
        </w:rPr>
        <w:t>-1  柳州市柳北区</w:t>
      </w:r>
      <w:r>
        <w:rPr>
          <w:rFonts w:hint="default" w:ascii="Times New Roman" w:hAnsi="Times New Roman" w:cs="Times New Roman"/>
          <w:color w:val="auto"/>
          <w:highlight w:val="none"/>
          <w:lang w:val="en-US" w:eastAsia="zh-CN"/>
        </w:rPr>
        <w:t>生态环境准入及管控要求</w:t>
      </w:r>
    </w:p>
    <w:tbl>
      <w:tblPr>
        <w:tblStyle w:val="15"/>
        <w:tblW w:w="13964" w:type="dxa"/>
        <w:jc w:val="center"/>
        <w:tblInd w:w="-1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1920"/>
        <w:gridCol w:w="1267"/>
        <w:gridCol w:w="1227"/>
        <w:gridCol w:w="8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blHeader/>
          <w:jc w:val="center"/>
        </w:trPr>
        <w:tc>
          <w:tcPr>
            <w:tcW w:w="1430" w:type="dxa"/>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color w:val="auto"/>
                <w:szCs w:val="21"/>
                <w:highlight w:val="none"/>
              </w:rPr>
            </w:pPr>
            <w:r>
              <w:rPr>
                <w:rFonts w:hint="default" w:ascii="Times New Roman" w:hAnsi="Times New Roman" w:cs="Times New Roman" w:eastAsiaTheme="minorEastAsia"/>
                <w:color w:val="auto"/>
                <w:szCs w:val="21"/>
                <w:highlight w:val="none"/>
              </w:rPr>
              <w:t>环境管控单元编码</w:t>
            </w:r>
          </w:p>
        </w:tc>
        <w:tc>
          <w:tcPr>
            <w:tcW w:w="1920" w:type="dxa"/>
            <w:shd w:val="clear" w:color="auto" w:fill="auto"/>
            <w:vAlign w:val="center"/>
          </w:tcPr>
          <w:p>
            <w:pPr>
              <w:pStyle w:val="29"/>
              <w:keepNext w:val="0"/>
              <w:keepLines w:val="0"/>
              <w:suppressLineNumbers w:val="0"/>
              <w:spacing w:before="0" w:beforeAutospacing="0" w:after="0" w:afterAutospacing="0"/>
              <w:ind w:left="0" w:right="0"/>
              <w:jc w:val="both"/>
              <w:rPr>
                <w:rFonts w:hint="default" w:ascii="Times New Roman" w:hAnsi="Times New Roman" w:cs="Times New Roman" w:eastAsiaTheme="minorEastAsia"/>
                <w:color w:val="auto"/>
                <w:szCs w:val="21"/>
                <w:highlight w:val="none"/>
              </w:rPr>
            </w:pPr>
            <w:r>
              <w:rPr>
                <w:rFonts w:hint="default" w:ascii="Times New Roman" w:hAnsi="Times New Roman" w:cs="Times New Roman" w:eastAsiaTheme="minorEastAsia"/>
                <w:color w:val="auto"/>
                <w:szCs w:val="21"/>
                <w:highlight w:val="none"/>
              </w:rPr>
              <w:t>环境管控单元名称</w:t>
            </w:r>
          </w:p>
        </w:tc>
        <w:tc>
          <w:tcPr>
            <w:tcW w:w="1267" w:type="dxa"/>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color w:val="auto"/>
                <w:szCs w:val="21"/>
                <w:highlight w:val="none"/>
              </w:rPr>
            </w:pPr>
            <w:r>
              <w:rPr>
                <w:rFonts w:hint="default" w:ascii="Times New Roman" w:hAnsi="Times New Roman" w:cs="Times New Roman" w:eastAsiaTheme="minorEastAsia"/>
                <w:strike w:val="0"/>
                <w:dstrike w:val="0"/>
                <w:color w:val="auto"/>
                <w:szCs w:val="21"/>
                <w:highlight w:val="none"/>
              </w:rPr>
              <w:t>环境</w:t>
            </w:r>
            <w:r>
              <w:rPr>
                <w:rFonts w:hint="default" w:ascii="Times New Roman" w:hAnsi="Times New Roman" w:cs="Times New Roman" w:eastAsiaTheme="minorEastAsia"/>
                <w:color w:val="auto"/>
                <w:szCs w:val="21"/>
                <w:highlight w:val="none"/>
              </w:rPr>
              <w:t>管控单元类别</w:t>
            </w:r>
          </w:p>
        </w:tc>
        <w:tc>
          <w:tcPr>
            <w:tcW w:w="9347" w:type="dxa"/>
            <w:gridSpan w:val="2"/>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color w:val="auto"/>
                <w:szCs w:val="21"/>
                <w:highlight w:val="none"/>
              </w:rPr>
            </w:pPr>
            <w:r>
              <w:rPr>
                <w:rFonts w:hint="default" w:ascii="Times New Roman" w:hAnsi="Times New Roman" w:cs="Times New Roman"/>
                <w:b/>
                <w:bCs/>
                <w:color w:val="auto"/>
                <w:highlight w:val="none"/>
                <w:lang w:val="en-US" w:eastAsia="zh-CN"/>
              </w:rPr>
              <w:t>生态环境准入及管控要求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2" w:hRule="atLeast"/>
          <w:jc w:val="center"/>
        </w:trPr>
        <w:tc>
          <w:tcPr>
            <w:tcW w:w="143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ZH45020510001</w:t>
            </w:r>
          </w:p>
        </w:tc>
        <w:tc>
          <w:tcPr>
            <w:tcW w:w="192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广西柳州君武自治区级森林公园生态保护红线</w:t>
            </w:r>
          </w:p>
        </w:tc>
        <w:tc>
          <w:tcPr>
            <w:tcW w:w="1267"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strike w:val="0"/>
                <w:dstrike w:val="0"/>
                <w:color w:val="auto"/>
                <w:szCs w:val="21"/>
                <w:highlight w:val="none"/>
              </w:rPr>
              <w:t>优先保护单元</w:t>
            </w:r>
          </w:p>
        </w:tc>
        <w:tc>
          <w:tcPr>
            <w:tcW w:w="1227"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strike w:val="0"/>
                <w:dstrike w:val="0"/>
                <w:color w:val="auto"/>
                <w:szCs w:val="21"/>
                <w:highlight w:val="none"/>
              </w:rPr>
              <w:t>空间布局约束</w:t>
            </w:r>
          </w:p>
        </w:tc>
        <w:tc>
          <w:tcPr>
            <w:tcW w:w="8120" w:type="dxa"/>
            <w:shd w:val="clear" w:color="auto" w:fill="auto"/>
            <w:vAlign w:val="center"/>
          </w:tcPr>
          <w:p>
            <w:pPr>
              <w:pStyle w:val="27"/>
              <w:keepNext w:val="0"/>
              <w:keepLines w:val="0"/>
              <w:suppressLineNumbers w:val="0"/>
              <w:tabs>
                <w:tab w:val="left" w:pos="312"/>
              </w:tabs>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tabs>
                <w:tab w:val="left" w:pos="312"/>
              </w:tabs>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核心保护区内，除满足国家特殊战略需要的有关活动外，原则上禁止人为活动；一般控制区内，除满足国家特殊战略需要的有关活动外，原则上禁止开发性、生产性建设活动，仅允许对生态功能不造成破坏的有限人为活动。</w:t>
            </w:r>
          </w:p>
          <w:p>
            <w:pPr>
              <w:pStyle w:val="27"/>
              <w:keepNext w:val="0"/>
              <w:keepLines w:val="0"/>
              <w:suppressLineNumbers w:val="0"/>
              <w:tabs>
                <w:tab w:val="left" w:pos="312"/>
              </w:tabs>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suppressLineNumbers w:val="0"/>
              <w:tabs>
                <w:tab w:val="left" w:pos="312"/>
              </w:tabs>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森林公园以及生态公益林、天然林还需执行国家、自治区以及市县相应法律法规要求。</w:t>
            </w:r>
          </w:p>
          <w:p>
            <w:pPr>
              <w:pStyle w:val="27"/>
              <w:keepNext w:val="0"/>
              <w:keepLines w:val="0"/>
              <w:suppressLineNumbers w:val="0"/>
              <w:tabs>
                <w:tab w:val="left" w:pos="312"/>
              </w:tabs>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9" w:hRule="atLeast"/>
          <w:jc w:val="center"/>
        </w:trPr>
        <w:tc>
          <w:tcPr>
            <w:tcW w:w="143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ZH45020510002</w:t>
            </w:r>
          </w:p>
        </w:tc>
        <w:tc>
          <w:tcPr>
            <w:tcW w:w="192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柳江-黔江流域水源涵养生态保护红线</w:t>
            </w:r>
          </w:p>
        </w:tc>
        <w:tc>
          <w:tcPr>
            <w:tcW w:w="126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120" w:type="dxa"/>
            <w:shd w:val="clear" w:color="auto" w:fill="auto"/>
            <w:vAlign w:val="center"/>
          </w:tcPr>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在符合现行法律法规前提下，除国家重大战略项目外，仅允许对生态功能不造成破坏的有限人为活动。</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饮用水水源保护区以及生态公益林还需执行国家、自治区以及市县相应法律法规要求。</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7" w:hRule="atLeast"/>
          <w:jc w:val="center"/>
        </w:trPr>
        <w:tc>
          <w:tcPr>
            <w:tcW w:w="1430"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ZH45020510003</w:t>
            </w:r>
          </w:p>
        </w:tc>
        <w:tc>
          <w:tcPr>
            <w:tcW w:w="1920" w:type="dxa"/>
            <w:shd w:val="clear" w:color="auto" w:fill="auto"/>
            <w:vAlign w:val="center"/>
          </w:tcPr>
          <w:p>
            <w:pPr>
              <w:pStyle w:val="27"/>
              <w:keepNext w:val="0"/>
              <w:keepLines w:val="0"/>
              <w:suppressLineNumbers w:val="0"/>
              <w:spacing w:before="0" w:beforeAutospacing="0" w:after="0" w:afterAutospacing="0"/>
              <w:ind w:left="0" w:leftChars="0" w:right="0" w:rightChars="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柳北区其他优先保护单元</w:t>
            </w:r>
          </w:p>
        </w:tc>
        <w:tc>
          <w:tcPr>
            <w:tcW w:w="126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120" w:type="dxa"/>
            <w:shd w:val="clear" w:color="auto" w:fill="auto"/>
            <w:vAlign w:val="center"/>
          </w:tcPr>
          <w:p>
            <w:pPr>
              <w:pStyle w:val="27"/>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．除符合国土空间规划建设和布局要求，以及市级以上矿产资源总体规划、能源开发利用规划、线性工程规划外，原则上按限制开发区域的要求进行管理。</w:t>
            </w:r>
          </w:p>
          <w:p>
            <w:pPr>
              <w:pStyle w:val="27"/>
              <w:rPr>
                <w:rFonts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矿产资源开发活动、新能源建设项目以及线性工程项目等要符合法律法规以及主体功能区规划、生态功能区划、环境保护总体规划、行业规划等规划要求，不得破坏生态、降低环境质量。要优化项目选址布局，严格控制开采量和开采区域，减少对生态空间的占用，不影响区域主导生态功能。要采取更加严格和有效的预防和保护措施，避免和减轻开发活动造成的生态破坏和环境污染。要严格落实项目环评的跟踪监测计划，项目开采（开工）、闭矿、跟踪监测要及时向所在地生态环境部门进行报备。加强矿山开采项目及其闭矿的环保督察，开展矿山区域生态环境质量飞行抽检。乡村振兴项目建设的审批简化和豁免要符合有关规定，不得影响区域主导生态功能、降低区域生态环境质量。</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lang w:val="en-US" w:eastAsia="zh-CN"/>
              </w:rPr>
              <w:t>3．严格执行《中华人民共和国渔业法》《水产种质资源保护区管理暂行办法》，禁止在水产种质资源保护区内新建排污口，在水产种质资源保护区附近新建、改建、扩建排污口，应当保证保护区水体不受污染。</w:t>
            </w:r>
            <w:r>
              <w:rPr>
                <w:rFonts w:hint="default" w:eastAsiaTheme="minorEastAsia"/>
                <w:color w:val="auto"/>
                <w:highlight w:val="none"/>
                <w:lang w:val="en-US" w:eastAsia="zh-CN"/>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4" w:hRule="atLeast"/>
          <w:jc w:val="center"/>
        </w:trPr>
        <w:tc>
          <w:tcPr>
            <w:tcW w:w="1430"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eastAsiaTheme="minorEastAsia"/>
                <w:color w:val="auto"/>
                <w:highlight w:val="none"/>
              </w:rPr>
            </w:pPr>
            <w:r>
              <w:rPr>
                <w:rFonts w:hint="default" w:eastAsiaTheme="minorEastAsia"/>
                <w:color w:val="auto"/>
                <w:highlight w:val="none"/>
              </w:rPr>
              <w:t>ZH45020520001</w:t>
            </w:r>
          </w:p>
        </w:tc>
        <w:tc>
          <w:tcPr>
            <w:tcW w:w="192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柳州市柳北工业区重点管控单元</w:t>
            </w:r>
          </w:p>
        </w:tc>
        <w:tc>
          <w:tcPr>
            <w:tcW w:w="1267"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120" w:type="dxa"/>
            <w:shd w:val="clear" w:color="auto" w:fill="auto"/>
            <w:vAlign w:val="center"/>
          </w:tcPr>
          <w:p>
            <w:pPr>
              <w:pStyle w:val="27"/>
              <w:spacing w:line="400" w:lineRule="exact"/>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1．</w:t>
            </w:r>
            <w:r>
              <w:rPr>
                <w:rFonts w:hint="default" w:ascii="Times New Roman" w:hAnsi="Times New Roman" w:eastAsia="宋体" w:cs="Times New Roman"/>
                <w:strike w:val="0"/>
                <w:dstrike w:val="0"/>
                <w:color w:val="auto"/>
                <w:sz w:val="21"/>
                <w:szCs w:val="21"/>
                <w:highlight w:val="none"/>
              </w:rPr>
              <w:t>入园项目必须符合国家、自治区产业政策、供地政策及园区产业定位。</w:t>
            </w:r>
          </w:p>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cs="Times New Roman"/>
                <w:strike w:val="0"/>
                <w:dstrike w:val="0"/>
                <w:color w:val="auto"/>
                <w:sz w:val="21"/>
                <w:szCs w:val="21"/>
                <w:highlight w:val="none"/>
                <w:lang w:val="en-US" w:eastAsia="zh-CN"/>
              </w:rPr>
              <w:t>2</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居住用地周边严控布局潜在污染扰民和环境风险突出的建设项目。产业区与居住区之间规划绿化隔离带，减轻工业生产活动对居住生活的影响。</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strike w:val="0"/>
                <w:dstrike w:val="0"/>
                <w:color w:val="auto"/>
                <w:sz w:val="21"/>
                <w:szCs w:val="21"/>
                <w:highlight w:val="none"/>
                <w:lang w:val="en-US" w:eastAsia="zh-CN"/>
              </w:rPr>
              <w:t>3</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对于园区内现有不符合规划产业定位的企业，需保持现有规模，禁止单纯扩产、扩能，仅能在淘汰自身落后产能的基础上，进行技术改造或转型升级，必要时，根据规划区产业发展需求，对其进行转产或关停。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0" w:hRule="atLeast"/>
          <w:jc w:val="center"/>
        </w:trPr>
        <w:tc>
          <w:tcPr>
            <w:tcW w:w="143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6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120"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1</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积极推广集中供热，有条件的工业聚集区建设集中喷涂工程中心，配备高效治污设施，替代企业独立喷涂工序。</w:t>
            </w:r>
          </w:p>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2</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推动重点行业挥发性有机物（VOCs）污染防治，强化企业精细化管控、无组织废气排放控制以及高效治污设施建设，严格控制挥发性有机污染物排放。</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sz w:val="21"/>
                <w:szCs w:val="21"/>
                <w:highlight w:val="none"/>
              </w:rPr>
              <w:t>3</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完善工业园区污水集中处理设施和配套管网。实行“清污分流、雨污分流”，实现废水分类收集、分质处理，入园企业</w:t>
            </w:r>
            <w:r>
              <w:rPr>
                <w:rFonts w:hint="default" w:ascii="Times New Roman" w:hAnsi="Times New Roman" w:cs="Times New Roman"/>
                <w:strike w:val="0"/>
                <w:dstrike w:val="0"/>
                <w:color w:val="auto"/>
                <w:sz w:val="21"/>
                <w:szCs w:val="21"/>
                <w:highlight w:val="none"/>
                <w:lang w:eastAsia="zh-CN"/>
              </w:rPr>
              <w:t>应在</w:t>
            </w:r>
            <w:r>
              <w:rPr>
                <w:rFonts w:hint="default" w:ascii="Times New Roman" w:hAnsi="Times New Roman" w:eastAsia="宋体" w:cs="Times New Roman"/>
                <w:strike w:val="0"/>
                <w:dstrike w:val="0"/>
                <w:color w:val="auto"/>
                <w:sz w:val="21"/>
                <w:szCs w:val="21"/>
                <w:highlight w:val="none"/>
              </w:rPr>
              <w:t>达到国家或地方规定的排放标准</w:t>
            </w:r>
            <w:r>
              <w:rPr>
                <w:rFonts w:hint="default" w:ascii="Times New Roman" w:hAnsi="Times New Roman" w:cs="Times New Roman"/>
                <w:strike w:val="0"/>
                <w:dstrike w:val="0"/>
                <w:color w:val="auto"/>
                <w:sz w:val="21"/>
                <w:szCs w:val="21"/>
                <w:highlight w:val="none"/>
                <w:lang w:eastAsia="zh-CN"/>
              </w:rPr>
              <w:t>或达到运营单位与纳管企业约定的水质水量后，</w:t>
            </w:r>
            <w:r>
              <w:rPr>
                <w:rFonts w:hint="default" w:ascii="Times New Roman" w:hAnsi="Times New Roman" w:eastAsia="宋体" w:cs="Times New Roman"/>
                <w:strike w:val="0"/>
                <w:dstrike w:val="0"/>
                <w:color w:val="auto"/>
                <w:sz w:val="21"/>
                <w:szCs w:val="21"/>
                <w:highlight w:val="none"/>
              </w:rPr>
              <w:t>接入集中式污水处理设施处理</w:t>
            </w:r>
            <w:r>
              <w:rPr>
                <w:rFonts w:hint="default" w:ascii="Times New Roman" w:hAnsi="Times New Roman" w:eastAsia="宋体" w:cs="Times New Roman"/>
                <w:color w:val="auto"/>
                <w:kern w:val="0"/>
                <w:sz w:val="21"/>
                <w:szCs w:val="21"/>
                <w:highlight w:val="none"/>
                <w:lang w:bidi="ar"/>
              </w:rPr>
              <w:t>并实时监控。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8" w:hRule="atLeast"/>
          <w:jc w:val="center"/>
        </w:trPr>
        <w:tc>
          <w:tcPr>
            <w:tcW w:w="143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6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120" w:type="dxa"/>
            <w:shd w:val="clear" w:color="auto" w:fill="auto"/>
            <w:vAlign w:val="center"/>
          </w:tcPr>
          <w:p>
            <w:pPr>
              <w:pStyle w:val="27"/>
              <w:keepNext w:val="0"/>
              <w:keepLines w:val="0"/>
              <w:numPr>
                <w:ilvl w:val="-1"/>
                <w:numId w:val="0"/>
              </w:numPr>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1</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开展环境风险评估，制定突发环境事件应急预案并备案，配备应急能力和物资，建设环境应急队伍，并定期演练。企业、园区与地方人民政府环境应急预案应当有机衔接。</w:t>
            </w:r>
          </w:p>
          <w:p>
            <w:pPr>
              <w:pStyle w:val="27"/>
              <w:keepNext w:val="0"/>
              <w:keepLines w:val="0"/>
              <w:numPr>
                <w:ilvl w:val="-1"/>
                <w:numId w:val="0"/>
              </w:numPr>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sz w:val="21"/>
                <w:szCs w:val="21"/>
                <w:highlight w:val="none"/>
              </w:rPr>
              <w:t>2</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土壤污染重点监管单位应当严格控制有毒有害物质排放，并按年度向生态环境主管部门报告排放情况；建立土壤污染隐患排查制度，保证持续有效防止有毒有害物质渗漏、流失、扬散；制定、实施自行监测方案，并将监测数据报生态环境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0" w:hRule="atLeast"/>
          <w:jc w:val="center"/>
        </w:trPr>
        <w:tc>
          <w:tcPr>
            <w:tcW w:w="143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6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eastAsia="zh-CN"/>
              </w:rPr>
            </w:pPr>
            <w:r>
              <w:rPr>
                <w:rFonts w:hint="default" w:cs="Times New Roman" w:eastAsiaTheme="minorEastAsia"/>
                <w:strike w:val="0"/>
                <w:dstrike w:val="0"/>
                <w:color w:val="auto"/>
                <w:highlight w:val="none"/>
                <w:lang w:eastAsia="zh-CN"/>
              </w:rPr>
              <w:t>资源开发利用效率要求</w:t>
            </w:r>
          </w:p>
        </w:tc>
        <w:tc>
          <w:tcPr>
            <w:tcW w:w="8120" w:type="dxa"/>
            <w:shd w:val="clear" w:color="auto" w:fill="auto"/>
            <w:vAlign w:val="center"/>
          </w:tcPr>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sz w:val="21"/>
                <w:szCs w:val="21"/>
                <w:highlight w:val="none"/>
                <w:lang w:eastAsia="zh-CN"/>
              </w:rPr>
              <w:t>高污染燃料禁燃区</w:t>
            </w:r>
            <w:r>
              <w:rPr>
                <w:rFonts w:hint="default" w:ascii="Times New Roman" w:hAnsi="Times New Roman" w:eastAsia="宋体" w:cs="Times New Roman"/>
                <w:strike w:val="0"/>
                <w:dstrike w:val="0"/>
                <w:color w:val="auto"/>
                <w:sz w:val="21"/>
                <w:szCs w:val="21"/>
                <w:highlight w:val="none"/>
              </w:rPr>
              <w:t>内禁止销售高污染燃料。禁止新建、扩建燃用高污染燃料的锅炉、工业窑炉、炉灶等燃烧设施。已建成的，应当在辖区人民政府规定的期限内改用天然气、液化石油气、电或者</w:t>
            </w:r>
            <w:r>
              <w:rPr>
                <w:rFonts w:hint="default" w:ascii="Times New Roman" w:hAnsi="Times New Roman" w:cs="Times New Roman"/>
                <w:strike w:val="0"/>
                <w:dstrike w:val="0"/>
                <w:color w:val="auto"/>
                <w:sz w:val="21"/>
                <w:szCs w:val="21"/>
                <w:highlight w:val="none"/>
                <w:lang w:eastAsia="zh-CN"/>
              </w:rPr>
              <w:t>其他</w:t>
            </w:r>
            <w:r>
              <w:rPr>
                <w:rFonts w:hint="default" w:ascii="Times New Roman" w:hAnsi="Times New Roman" w:eastAsia="宋体" w:cs="Times New Roman"/>
                <w:strike w:val="0"/>
                <w:dstrike w:val="0"/>
                <w:color w:val="auto"/>
                <w:sz w:val="21"/>
                <w:szCs w:val="21"/>
                <w:highlight w:val="none"/>
              </w:rPr>
              <w:t>清洁能源。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4" w:hRule="atLeast"/>
          <w:jc w:val="center"/>
        </w:trPr>
        <w:tc>
          <w:tcPr>
            <w:tcW w:w="1430" w:type="dxa"/>
            <w:vMerge w:val="restart"/>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ZH45020520002</w:t>
            </w:r>
          </w:p>
        </w:tc>
        <w:tc>
          <w:tcPr>
            <w:tcW w:w="1920" w:type="dxa"/>
            <w:vMerge w:val="restart"/>
            <w:shd w:val="clear" w:color="auto" w:fill="auto"/>
            <w:vAlign w:val="center"/>
          </w:tcPr>
          <w:p>
            <w:pPr>
              <w:pStyle w:val="27"/>
              <w:keepNext w:val="0"/>
              <w:keepLines w:val="0"/>
              <w:suppressLineNumbers w:val="0"/>
              <w:spacing w:before="0" w:beforeAutospacing="0" w:after="0" w:afterAutospacing="0"/>
              <w:ind w:left="0" w:leftChars="0" w:right="0" w:rightChars="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柳州市柳北老工业基地重点管控单元</w:t>
            </w:r>
          </w:p>
        </w:tc>
        <w:tc>
          <w:tcPr>
            <w:tcW w:w="1267" w:type="dxa"/>
            <w:vMerge w:val="restart"/>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27"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cs="Times New Roman" w:eastAsiaTheme="minorEastAsia"/>
                <w:strike w:val="0"/>
                <w:dstrike w:val="0"/>
                <w:color w:val="auto"/>
                <w:highlight w:val="none"/>
                <w:lang w:eastAsia="zh-CN"/>
              </w:rPr>
            </w:pPr>
            <w:r>
              <w:rPr>
                <w:rFonts w:hint="default" w:ascii="Times New Roman" w:hAnsi="Times New Roman" w:cs="Times New Roman" w:eastAsiaTheme="minorEastAsia"/>
                <w:strike w:val="0"/>
                <w:dstrike w:val="0"/>
                <w:color w:val="auto"/>
                <w:highlight w:val="none"/>
              </w:rPr>
              <w:t>空间布局约束</w:t>
            </w:r>
          </w:p>
        </w:tc>
        <w:tc>
          <w:tcPr>
            <w:tcW w:w="8120"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居住用地周边严控布局潜在污染扰民和环境风险突出的建设项目。产业区与居住区之间规划绿化隔离带，减轻工业生产活动对居住生活的影响。</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对于园区内现有不符合规划产业定位的企业，需保持现有规模，禁止单纯扩产、扩能，仅能在淘汰自身落后产能的基础上，进行技术改造或转型升级，必要时，根据规划区产业发展需求，对其进行转产或关停。</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与饮用水水源保护区二级保护区重叠部分依据《广西壮族自治区饮用水水源保护条例》进行管理。</w:t>
            </w:r>
          </w:p>
          <w:p>
            <w:pPr>
              <w:pStyle w:val="27"/>
              <w:numPr>
                <w:ilvl w:val="0"/>
                <w:numId w:val="0"/>
              </w:numPr>
              <w:rPr>
                <w:rFonts w:hint="default" w:eastAsiaTheme="minorEastAsia"/>
                <w:color w:val="auto"/>
                <w:highlight w:val="none"/>
                <w:lang w:val="en-US" w:eastAsia="zh-CN"/>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lang w:val="en-US" w:eastAsia="zh-CN"/>
              </w:rPr>
              <w:t>新建大气污染物排放的工业项目，原则上应当进入工业园区或者工业集聚区；加快布局分散的企业向园区集中。</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5</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lang w:val="en-US" w:eastAsia="zh-CN"/>
              </w:rPr>
              <w:t>产业园区管理机构应将规划环评结论及审查意见落实到规划中，负责统筹区域内生态环境基础设施建设，不得引入不符合规划环评</w:t>
            </w:r>
            <w:r>
              <w:rPr>
                <w:rFonts w:hint="default"/>
                <w:color w:val="auto"/>
                <w:highlight w:val="none"/>
                <w:lang w:val="en-US" w:eastAsia="zh-CN"/>
              </w:rPr>
              <w:t>结论及审查意见的项目入园。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5" w:hRule="atLeast"/>
          <w:jc w:val="center"/>
        </w:trPr>
        <w:tc>
          <w:tcPr>
            <w:tcW w:w="1430"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both"/>
              <w:rPr>
                <w:rFonts w:hint="default" w:ascii="Times New Roman" w:hAnsi="Times New Roman" w:cs="Times New Roman" w:eastAsiaTheme="minorEastAsia"/>
                <w:strike w:val="0"/>
                <w:dstrike w:val="0"/>
                <w:color w:val="auto"/>
                <w:highlight w:val="none"/>
              </w:rPr>
            </w:pPr>
          </w:p>
        </w:tc>
        <w:tc>
          <w:tcPr>
            <w:tcW w:w="1267"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p>
        </w:tc>
        <w:tc>
          <w:tcPr>
            <w:tcW w:w="1227"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cs="Times New Roman" w:eastAsiaTheme="minorEastAsia"/>
                <w:strike w:val="0"/>
                <w:dstrike w:val="0"/>
                <w:color w:val="auto"/>
                <w:highlight w:val="none"/>
                <w:lang w:eastAsia="zh-CN"/>
              </w:rPr>
            </w:pPr>
            <w:r>
              <w:rPr>
                <w:rFonts w:hint="default" w:ascii="Times New Roman" w:hAnsi="Times New Roman" w:cs="Times New Roman" w:eastAsiaTheme="minorEastAsia"/>
                <w:strike w:val="0"/>
                <w:dstrike w:val="0"/>
                <w:color w:val="auto"/>
                <w:highlight w:val="none"/>
              </w:rPr>
              <w:t>污染物排放管控</w:t>
            </w:r>
          </w:p>
        </w:tc>
        <w:tc>
          <w:tcPr>
            <w:tcW w:w="8120"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积极推广集中供热，有条件的工业聚集区建设集中喷涂工程中心，配备高效治污设施，替代企业独立喷涂工序。</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推动重点行业挥发性有机物（VOCs）污染防治，强化企业精细化管控、无组织废气排放控制以及高效治污设施建设，严格控制挥发性有机污染物排放。</w:t>
            </w:r>
          </w:p>
          <w:p>
            <w:pPr>
              <w:pStyle w:val="27"/>
              <w:numPr>
                <w:ilvl w:val="0"/>
                <w:numId w:val="0"/>
              </w:numPr>
              <w:rPr>
                <w:rFonts w:hint="default" w:eastAsiaTheme="minorEastAsia"/>
                <w:color w:val="auto"/>
                <w:highlight w:val="none"/>
                <w:lang w:val="en-US" w:eastAsia="zh-CN"/>
              </w:rPr>
            </w:pPr>
            <w:r>
              <w:rPr>
                <w:rFonts w:hint="default" w:eastAsiaTheme="minorEastAsia"/>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lang w:val="en-US" w:eastAsia="zh-CN"/>
              </w:rPr>
              <w:t>深化园区工业污染治理，持续推进工业污染源全面达标排放，开展烟气高效脱硫脱硝、除尘改造。推进各类园区技术、工艺、设备等生态化、循环化改造，积极推广园区集中供热。强化园区堆场扬尘控制。推动重点行业VOCs的排放管控，加强VOCs排放企业源头控制。</w:t>
            </w:r>
          </w:p>
          <w:p>
            <w:pPr>
              <w:pStyle w:val="27"/>
              <w:numPr>
                <w:ilvl w:val="0"/>
                <w:numId w:val="0"/>
              </w:numPr>
              <w:rPr>
                <w:rFonts w:hint="default" w:eastAsiaTheme="minorEastAsia"/>
                <w:color w:val="auto"/>
                <w:highlight w:val="none"/>
                <w:lang w:val="en-US" w:eastAsia="zh-CN"/>
              </w:rPr>
            </w:pPr>
            <w:r>
              <w:rPr>
                <w:rFonts w:hint="default" w:eastAsiaTheme="minorEastAsia"/>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lang w:val="en-US" w:eastAsia="zh-CN"/>
              </w:rPr>
              <w:t>逐步完成工业集聚区集中式污水处理设施建设，确保已建污水处理设施稳定运行及达标排放。园区集中式污水处理设施总排口安装自动监控系统、视频监控系统，并与生态环境主管部门联网。按照“清污分流、雨污分流”原则，实施废水分类收集、分质处理。</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lang w:val="en-US" w:eastAsia="zh-CN"/>
              </w:rPr>
              <w:t>5</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rPr>
              <w:t>园区及园区企业排放水污染物，要满足国家或者地方规定的水污染物排放标准和重点水污染物排放总量控制指标。直接外排水环境的，执行国家或者地方规定的标准要求；经城镇污水集中处理设施处理后排放的，执行市政部门管理要求；经园区污水集中处理设施处理后排放的，执行园区管理部门相关要求</w:t>
            </w:r>
            <w:r>
              <w:rPr>
                <w:rFonts w:hint="default" w:eastAsiaTheme="minor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1" w:hRule="atLeast"/>
          <w:jc w:val="center"/>
        </w:trPr>
        <w:tc>
          <w:tcPr>
            <w:tcW w:w="1430"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both"/>
              <w:rPr>
                <w:rFonts w:hint="default" w:ascii="Times New Roman" w:hAnsi="Times New Roman" w:cs="Times New Roman" w:eastAsiaTheme="minorEastAsia"/>
                <w:strike w:val="0"/>
                <w:dstrike w:val="0"/>
                <w:color w:val="auto"/>
                <w:highlight w:val="none"/>
              </w:rPr>
            </w:pPr>
          </w:p>
        </w:tc>
        <w:tc>
          <w:tcPr>
            <w:tcW w:w="1267"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p>
        </w:tc>
        <w:tc>
          <w:tcPr>
            <w:tcW w:w="1227"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cs="Times New Roman" w:eastAsiaTheme="minorEastAsia"/>
                <w:strike w:val="0"/>
                <w:dstrike w:val="0"/>
                <w:color w:val="auto"/>
                <w:highlight w:val="none"/>
                <w:lang w:eastAsia="zh-CN"/>
              </w:rPr>
            </w:pPr>
            <w:r>
              <w:rPr>
                <w:rFonts w:hint="default" w:ascii="Times New Roman" w:hAnsi="Times New Roman" w:cs="Times New Roman" w:eastAsiaTheme="minorEastAsia"/>
                <w:strike w:val="0"/>
                <w:dstrike w:val="0"/>
                <w:color w:val="auto"/>
                <w:highlight w:val="none"/>
              </w:rPr>
              <w:t>环境风险防控</w:t>
            </w:r>
          </w:p>
        </w:tc>
        <w:tc>
          <w:tcPr>
            <w:tcW w:w="8120" w:type="dxa"/>
            <w:shd w:val="clear" w:color="auto" w:fill="auto"/>
            <w:vAlign w:val="center"/>
          </w:tcPr>
          <w:p>
            <w:pPr>
              <w:pStyle w:val="27"/>
              <w:keepNext w:val="0"/>
              <w:keepLines w:val="0"/>
              <w:numPr>
                <w:ilvl w:val="0"/>
                <w:numId w:val="0"/>
              </w:numPr>
              <w:suppressLineNumbers w:val="0"/>
              <w:spacing w:before="0" w:beforeAutospacing="0" w:after="0" w:afterAutospacing="0"/>
              <w:ind w:right="0" w:rightChars="0"/>
              <w:rPr>
                <w:rFonts w:hint="default" w:ascii="Times New Roman" w:hAnsi="Times New Roman" w:eastAsia="宋体" w:cs="Times New Roman"/>
                <w:strike w:val="0"/>
                <w:dstrike w:val="0"/>
                <w:color w:val="auto"/>
                <w:sz w:val="21"/>
                <w:szCs w:val="21"/>
                <w:highlight w:val="none"/>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eastAsia="宋体" w:cs="Times New Roman"/>
                <w:strike w:val="0"/>
                <w:dstrike w:val="0"/>
                <w:color w:val="auto"/>
                <w:sz w:val="21"/>
                <w:szCs w:val="21"/>
                <w:highlight w:val="none"/>
              </w:rPr>
              <w:t>开展环境风险评估，制定突发环境事件应急预案并备案，配备应急能力和物资，建设环境应急队伍，并定期演练。企业、园区与地方人民政府环境应急预案应当有机衔接。</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color w:val="auto"/>
                <w:highlight w:val="none"/>
                <w:lang w:val="en-US" w:eastAsia="zh-CN"/>
              </w:rPr>
              <w:t>对暂</w:t>
            </w:r>
            <w:r>
              <w:rPr>
                <w:rFonts w:hint="default" w:ascii="Times New Roman" w:hAnsi="Times New Roman" w:cs="Times New Roman" w:eastAsiaTheme="minorEastAsia"/>
                <w:strike w:val="0"/>
                <w:dstrike w:val="0"/>
                <w:color w:val="auto"/>
                <w:highlight w:val="none"/>
                <w:lang w:val="en-US" w:eastAsia="zh-CN"/>
              </w:rPr>
              <w:t>不开发利用的污染地块，实施以防止污染扩散为目的的风险管控；对拟开发利用为居住用地和商业、学校、医疗、养老机构等公共设施用地的污染地块，实施以安全利用为目的的风险管控。</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土壤污染重点监管单位应当严格控制有毒有害物质排放，并按年度向所在地设区的市人民政府生态环境主管部门报告排放情况；建立土壤污染隐患排查制度，保证持续有效防止有毒有害物质渗漏、流失、扬散。</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5</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列入建设用地土壤污染风险管控和修复名录的地块，不得作为住宅、公共管理与公共服务用地，应当采取风险管控措施或实施修复。对达到土壤污染风险评估报告确定的风险管控、修复目标的建设用地地块，土壤污染责任人、土地使用权人可以向自治区人民政府生态环境主管部门申请移出建设用地土壤污染风险管控和修复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0" w:hRule="atLeast"/>
          <w:jc w:val="center"/>
        </w:trPr>
        <w:tc>
          <w:tcPr>
            <w:tcW w:w="1430"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both"/>
              <w:rPr>
                <w:rFonts w:hint="default" w:ascii="Times New Roman" w:hAnsi="Times New Roman" w:cs="Times New Roman" w:eastAsiaTheme="minorEastAsia"/>
                <w:strike w:val="0"/>
                <w:dstrike w:val="0"/>
                <w:color w:val="auto"/>
                <w:highlight w:val="none"/>
              </w:rPr>
            </w:pPr>
          </w:p>
        </w:tc>
        <w:tc>
          <w:tcPr>
            <w:tcW w:w="1267"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p>
        </w:tc>
        <w:tc>
          <w:tcPr>
            <w:tcW w:w="1227"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cs="Times New Roman" w:eastAsiaTheme="minorEastAsia"/>
                <w:strike w:val="0"/>
                <w:dstrike w:val="0"/>
                <w:color w:val="auto"/>
                <w:highlight w:val="none"/>
                <w:lang w:eastAsia="zh-CN"/>
              </w:rPr>
            </w:pPr>
            <w:r>
              <w:rPr>
                <w:rFonts w:hint="default" w:cs="Times New Roman" w:eastAsiaTheme="minorEastAsia"/>
                <w:strike w:val="0"/>
                <w:dstrike w:val="0"/>
                <w:color w:val="auto"/>
                <w:highlight w:val="none"/>
                <w:lang w:eastAsia="zh-CN"/>
              </w:rPr>
              <w:t>资源开发利用效率要求</w:t>
            </w:r>
          </w:p>
        </w:tc>
        <w:tc>
          <w:tcPr>
            <w:tcW w:w="8120" w:type="dxa"/>
            <w:shd w:val="clear" w:color="auto" w:fill="auto"/>
            <w:vAlign w:val="center"/>
          </w:tcPr>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禁燃区内禁止销售、使用原煤等高污染燃料，现有燃用高污染燃料的设施应在规定期限内停止燃用高污染燃料，改用天然气、液化石油气、电或者其他清洁能源，其余按照《柳州市人民政府关于划定柳州市高污染燃料禁燃区的通告》要求实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9" w:hRule="atLeast"/>
          <w:jc w:val="center"/>
        </w:trPr>
        <w:tc>
          <w:tcPr>
            <w:tcW w:w="1430"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ZH45020520003</w:t>
            </w:r>
          </w:p>
        </w:tc>
        <w:tc>
          <w:tcPr>
            <w:tcW w:w="192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柳北区城镇空间重点管控单元</w:t>
            </w:r>
          </w:p>
        </w:tc>
        <w:tc>
          <w:tcPr>
            <w:tcW w:w="1267"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120" w:type="dxa"/>
            <w:shd w:val="clear" w:color="auto" w:fill="auto"/>
            <w:vAlign w:val="center"/>
          </w:tcPr>
          <w:p>
            <w:pPr>
              <w:pStyle w:val="27"/>
              <w:rPr>
                <w:rFonts w:hint="default" w:cs="Times New Roman" w:eastAsiaTheme="minorEastAsia"/>
                <w:strike w:val="0"/>
                <w:dstrike w:val="0"/>
                <w:color w:val="auto"/>
                <w:highlight w:val="none"/>
                <w:lang w:val="en-US" w:eastAsia="zh-CN"/>
              </w:rPr>
            </w:pPr>
            <w:r>
              <w:rPr>
                <w:rFonts w:hint="eastAsia"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．城市建成区内的钢铁、石油、化工、有色金属、水泥、平板玻璃、建筑陶瓷、砖瓦等行业中的高排放、高污染项目，应当逐步进行搬迁、改造或者转型、退出。</w:t>
            </w:r>
          </w:p>
          <w:p>
            <w:pPr>
              <w:pStyle w:val="27"/>
              <w:rPr>
                <w:rFonts w:hint="default" w:eastAsiaTheme="minorEastAsia"/>
                <w:color w:val="auto"/>
                <w:highlight w:val="none"/>
                <w:lang w:val="en-US" w:eastAsia="zh-CN"/>
              </w:rPr>
            </w:pPr>
            <w:r>
              <w:rPr>
                <w:rFonts w:hint="eastAsia"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．城市市区、镇和村庄居民区、文化教育科学研究区等人口集中区域禁止设置畜禽养殖场、养殖小区。</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与饮用水水源保护区二级保护区重叠部分依据《广西壮族自治区饮用水水源保护条例》进行管理。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9" w:hRule="atLeast"/>
          <w:jc w:val="center"/>
        </w:trPr>
        <w:tc>
          <w:tcPr>
            <w:tcW w:w="143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6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120"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color w:val="auto"/>
                <w:highlight w:val="none"/>
                <w:lang w:val="en-US" w:eastAsia="zh-CN"/>
              </w:rPr>
              <w:t>加大燃煤小锅炉淘汰力度。依法依规加快淘汰老旧柴油货车。严格控制施工和道路扬尘污染。禁止露天焚烧</w:t>
            </w:r>
            <w:r>
              <w:rPr>
                <w:rFonts w:hint="default" w:ascii="Times New Roman" w:hAnsi="Times New Roman" w:cs="Times New Roman" w:eastAsiaTheme="minorEastAsia"/>
                <w:strike w:val="0"/>
                <w:dstrike w:val="0"/>
                <w:color w:val="auto"/>
                <w:highlight w:val="none"/>
                <w:lang w:val="en-US" w:eastAsia="zh-CN"/>
              </w:rPr>
              <w:t>产生</w:t>
            </w:r>
            <w:r>
              <w:rPr>
                <w:rFonts w:hint="default"/>
                <w:color w:val="auto"/>
                <w:highlight w:val="none"/>
                <w:lang w:val="en-US" w:eastAsia="zh-CN"/>
              </w:rPr>
              <w:t>有毒有害烟尘和恶臭气体的物质。鼓励建筑装修、汽修喷涂作业、干洗等行业，使用低毒、低挥发性溶剂。</w:t>
            </w:r>
          </w:p>
          <w:p>
            <w:pPr>
              <w:pStyle w:val="27"/>
              <w:keepNext w:val="0"/>
              <w:keepLines w:val="0"/>
              <w:numPr>
                <w:ilvl w:val="0"/>
                <w:numId w:val="0"/>
              </w:numPr>
              <w:suppressLineNumbers w:val="0"/>
              <w:spacing w:before="0" w:beforeAutospacing="0" w:after="0" w:afterAutospacing="0"/>
              <w:ind w:left="0" w:right="0"/>
              <w:rPr>
                <w:rFonts w:hint="default"/>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cs="Times New Roman" w:eastAsiaTheme="minorEastAsia"/>
                <w:strike w:val="0"/>
                <w:dstrike w:val="0"/>
                <w:color w:val="auto"/>
                <w:highlight w:val="none"/>
                <w:lang w:eastAsia="zh-CN"/>
              </w:rPr>
              <w:t>城市建成区基本</w:t>
            </w:r>
            <w:r>
              <w:rPr>
                <w:rFonts w:hint="default" w:ascii="Times New Roman" w:hAnsi="Times New Roman" w:cs="Times New Roman" w:eastAsiaTheme="minorEastAsia"/>
                <w:strike w:val="0"/>
                <w:dstrike w:val="0"/>
                <w:color w:val="auto"/>
                <w:highlight w:val="none"/>
                <w:lang w:eastAsia="zh-CN"/>
              </w:rPr>
              <w:t>消除生活污水直排口，有效杜绝污水直排水体。</w:t>
            </w:r>
          </w:p>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eastAsia="zh-CN"/>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．提高污水处理能力，完善既有污水处理厂和新建、扩建污水处理厂配套管网建设，基本实现城中村、老旧城区和城乡结合部生活污水收集处理。</w:t>
            </w:r>
          </w:p>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ascii="Times New Roman" w:hAnsi="Times New Roman" w:eastAsiaTheme="minorEastAsia"/>
                <w:color w:val="auto"/>
                <w:highlight w:val="none"/>
              </w:rPr>
              <w:t>矿产资源勘查以及采选过程中排土场、露天采场、尾矿库、矿区专用道路、矿山工业场地、沉陷区、矸石场、矿山污染场地等的生态环境保护与治理恢复工作须满足</w:t>
            </w:r>
            <w:r>
              <w:rPr>
                <w:rFonts w:hint="default" w:eastAsiaTheme="minorEastAsia"/>
                <w:color w:val="auto"/>
                <w:highlight w:val="none"/>
                <w:lang w:eastAsia="zh-CN"/>
              </w:rPr>
              <w:t>《矿山生态环境保护与恢复治理技术规范（试行）》</w:t>
            </w:r>
            <w:r>
              <w:rPr>
                <w:rFonts w:ascii="Times New Roman" w:hAnsi="Times New Roman" w:eastAsiaTheme="minorEastAsia"/>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3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6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120"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color w:val="auto"/>
                <w:highlight w:val="none"/>
                <w:lang w:val="en-US" w:eastAsia="zh-CN"/>
              </w:rPr>
              <w:t>对暂</w:t>
            </w:r>
            <w:r>
              <w:rPr>
                <w:rFonts w:hint="default" w:ascii="Times New Roman" w:hAnsi="Times New Roman" w:cs="Times New Roman" w:eastAsiaTheme="minorEastAsia"/>
                <w:strike w:val="0"/>
                <w:dstrike w:val="0"/>
                <w:color w:val="auto"/>
                <w:highlight w:val="none"/>
                <w:lang w:val="en-US" w:eastAsia="zh-CN"/>
              </w:rPr>
              <w:t>不开发利用的污染地块，实施以防止污染扩散为目的的风险管控；对拟开发利用为居住用地和商业、学校、医疗、养老机构等公共设施用地的污染地块，实施以安全利用为目的的风险管控。</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土壤污染重点监管单位应当严格控制有毒有害物质排放，并按年度向所在地设区的市人民政府生态环境主管部门报告排放情况；建立土壤污染隐患排查制度，保证持续有效防止有毒有害物质渗漏、流失、扬散。</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p>
            <w:pPr>
              <w:pStyle w:val="28"/>
              <w:keepNext w:val="0"/>
              <w:keepLines w:val="0"/>
              <w:suppressLineNumbers w:val="0"/>
              <w:adjustRightInd w:val="0"/>
              <w:snapToGrid w:val="0"/>
              <w:spacing w:before="0" w:beforeAutospacing="0" w:after="0" w:afterAutospacing="0"/>
              <w:ind w:left="0" w:right="0" w:firstLine="0" w:firstLineChars="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列入建设用地土壤污染风险管控和修复名录的地块，不得作为住宅、公共管理与公共服务用地，应当采取风险管控措施或实施修复。对达到土壤污染风险评估报告确定的风险管控、修复目标的建设用地地块，土壤污染责任人、土地使用权人可以向自治区人民政府生态环境主管部门申请移出建设用地土壤污染风险管控和修复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5" w:hRule="atLeast"/>
          <w:jc w:val="center"/>
        </w:trPr>
        <w:tc>
          <w:tcPr>
            <w:tcW w:w="143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6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eastAsia="zh-CN"/>
              </w:rPr>
            </w:pPr>
            <w:r>
              <w:rPr>
                <w:rFonts w:hint="default" w:cs="Times New Roman" w:eastAsiaTheme="minorEastAsia"/>
                <w:strike w:val="0"/>
                <w:dstrike w:val="0"/>
                <w:color w:val="auto"/>
                <w:highlight w:val="none"/>
                <w:lang w:eastAsia="zh-CN"/>
              </w:rPr>
              <w:t>资源开发利用效率要求</w:t>
            </w:r>
          </w:p>
        </w:tc>
        <w:tc>
          <w:tcPr>
            <w:tcW w:w="8120" w:type="dxa"/>
            <w:shd w:val="clear" w:color="auto" w:fill="auto"/>
            <w:vAlign w:val="center"/>
          </w:tcPr>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禁燃区内禁止销售、使用原煤等高污染燃料，现有燃用高污染燃料的设施应在规定期限内停止燃用高污染燃料，改用天然气、液化石油气、电或者其他清洁能源，其余按照《柳州市人民政府关于划定柳州市高污染燃料禁燃区的通告》要求实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30"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ZH45020520004</w:t>
            </w:r>
          </w:p>
        </w:tc>
        <w:tc>
          <w:tcPr>
            <w:tcW w:w="192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commentRangeStart w:id="4"/>
            <w:r>
              <w:rPr>
                <w:rFonts w:hint="default" w:eastAsiaTheme="minorEastAsia"/>
                <w:color w:val="auto"/>
                <w:highlight w:val="none"/>
              </w:rPr>
              <w:t>柳北区布局敏感区重点管控单元</w:t>
            </w:r>
            <w:commentRangeEnd w:id="4"/>
            <w:r>
              <w:rPr>
                <w:highlight w:val="none"/>
              </w:rPr>
              <w:commentReference w:id="4"/>
            </w:r>
          </w:p>
        </w:tc>
        <w:tc>
          <w:tcPr>
            <w:tcW w:w="1267"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120"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eastAsia="zh-CN"/>
              </w:rPr>
            </w:pPr>
            <w:r>
              <w:rPr>
                <w:rFonts w:hint="default" w:ascii="Times New Roman" w:hAnsi="Times New Roman" w:cs="Times New Roman" w:eastAsiaTheme="minorEastAsia"/>
                <w:strike w:val="0"/>
                <w:dstrike w:val="0"/>
                <w:color w:val="auto"/>
                <w:highlight w:val="none"/>
                <w:lang w:val="en-US" w:eastAsia="zh-CN"/>
              </w:rPr>
              <w:t>原则上避免大规模排放大气污染物的项目布局建设。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9" w:hRule="atLeast"/>
          <w:jc w:val="center"/>
        </w:trPr>
        <w:tc>
          <w:tcPr>
            <w:tcW w:w="143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eastAsiaTheme="minorEastAsia"/>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eastAsiaTheme="minorEastAsia"/>
                <w:color w:val="auto"/>
                <w:highlight w:val="none"/>
              </w:rPr>
            </w:pPr>
          </w:p>
        </w:tc>
        <w:tc>
          <w:tcPr>
            <w:tcW w:w="126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120"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rPr>
            </w:pPr>
            <w:r>
              <w:rPr>
                <w:rFonts w:hint="default" w:cs="Times New Roman" w:eastAsiaTheme="minorEastAsia"/>
                <w:strike w:val="0"/>
                <w:dstrike w:val="0"/>
                <w:color w:val="auto"/>
                <w:highlight w:val="none"/>
                <w:lang w:val="en-US" w:eastAsia="zh-CN"/>
              </w:rPr>
              <w:t>全面开展“散乱污”企业及集群综合整治行动。加大区域内大气污染治理力度，优化大气污染物排放项目布局，引导新建、扩建排放大气污染工业项目采用清洁生产工艺、先进的污染防治工艺。强化不利气象条件下秸秆焚烧控制，空气污染预警情况下严格执行秸秆禁烧管控。加强VOCs排放企业源头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4" w:hRule="atLeast"/>
          <w:jc w:val="center"/>
        </w:trPr>
        <w:tc>
          <w:tcPr>
            <w:tcW w:w="1430"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ZH45020520005</w:t>
            </w:r>
          </w:p>
        </w:tc>
        <w:tc>
          <w:tcPr>
            <w:tcW w:w="192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rPr>
            </w:pPr>
            <w:commentRangeStart w:id="5"/>
            <w:r>
              <w:rPr>
                <w:rFonts w:hint="default" w:eastAsiaTheme="minorEastAsia"/>
                <w:color w:val="auto"/>
                <w:highlight w:val="none"/>
              </w:rPr>
              <w:t>柳北区其他重点管控单元</w:t>
            </w:r>
            <w:commentRangeEnd w:id="5"/>
            <w:r>
              <w:rPr>
                <w:highlight w:val="none"/>
              </w:rPr>
              <w:commentReference w:id="5"/>
            </w:r>
          </w:p>
        </w:tc>
        <w:tc>
          <w:tcPr>
            <w:tcW w:w="1267"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120"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规划产业园区应当依法依规进行审批。新建企业原则上均应建在产业园区。</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居住用地周边严控布局潜在污染扰民和环境风险</w:t>
            </w:r>
            <w:r>
              <w:rPr>
                <w:rFonts w:hint="default" w:ascii="Times New Roman" w:hAnsi="Times New Roman" w:cs="Times New Roman" w:eastAsiaTheme="minorEastAsia"/>
                <w:b w:val="0"/>
                <w:bCs w:val="0"/>
                <w:strike w:val="0"/>
                <w:dstrike w:val="0"/>
                <w:color w:val="auto"/>
                <w:highlight w:val="none"/>
              </w:rPr>
              <w:t>突出的建设项目。禁止在居民区和学校、医院、疗养院、养老院等单位周边新建、改建、扩建可</w:t>
            </w:r>
            <w:r>
              <w:rPr>
                <w:rFonts w:hint="default" w:ascii="Times New Roman" w:hAnsi="Times New Roman" w:cs="Times New Roman" w:eastAsiaTheme="minorEastAsia"/>
                <w:strike w:val="0"/>
                <w:dstrike w:val="0"/>
                <w:color w:val="auto"/>
                <w:highlight w:val="none"/>
              </w:rPr>
              <w:t>能造成土壤污染的建设项目。</w:t>
            </w:r>
            <w:r>
              <w:rPr>
                <w:rFonts w:hint="default" w:ascii="Times New Roman" w:hAnsi="Times New Roman" w:cs="Times New Roman" w:eastAsiaTheme="minorEastAsia"/>
                <w:b w:val="0"/>
                <w:bCs/>
                <w:strike w:val="0"/>
                <w:dstrike w:val="0"/>
                <w:color w:val="auto"/>
                <w:highlight w:val="none"/>
              </w:rPr>
              <w:t>禁止</w:t>
            </w:r>
            <w:r>
              <w:rPr>
                <w:rFonts w:hint="default" w:ascii="Times New Roman" w:hAnsi="Times New Roman" w:cs="Times New Roman" w:eastAsiaTheme="minorEastAsia"/>
                <w:strike w:val="0"/>
                <w:dstrike w:val="0"/>
                <w:color w:val="auto"/>
                <w:highlight w:val="none"/>
              </w:rPr>
              <w:t>在人口聚居区域内新（改、扩）建涉重金属企业。</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临近生态保护红线的工业企业，应采取有效措施，避免产生不利影响。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8" w:hRule="atLeast"/>
          <w:jc w:val="center"/>
        </w:trPr>
        <w:tc>
          <w:tcPr>
            <w:tcW w:w="143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6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120"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工业企业应当落实大气污染防治要求，采取有效措施，强化企业大气污染物排放精细化管理、无组织废气排放控制以及高效治污设施建设。</w:t>
            </w:r>
          </w:p>
          <w:p>
            <w:pPr>
              <w:pStyle w:val="27"/>
              <w:keepNext w:val="0"/>
              <w:keepLines w:val="0"/>
              <w:numPr>
                <w:ilvl w:val="0"/>
                <w:numId w:val="0"/>
              </w:numPr>
              <w:suppressLineNumbers w:val="0"/>
              <w:spacing w:before="0" w:beforeAutospacing="0" w:after="0" w:afterAutospacing="0"/>
              <w:ind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rPr>
              <w:t>规划产业园区建设应同步完善污水处理设施及管网建设；园区及园区企业主要污染物排放应控制在区域环境承载能力范围内，确保环境质量达标。</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2" w:hRule="atLeast"/>
          <w:jc w:val="center"/>
        </w:trPr>
        <w:tc>
          <w:tcPr>
            <w:tcW w:w="143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6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120"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color w:val="auto"/>
                <w:highlight w:val="none"/>
                <w:lang w:val="en-US" w:eastAsia="zh-CN"/>
              </w:rPr>
              <w:t>对暂</w:t>
            </w:r>
            <w:r>
              <w:rPr>
                <w:rFonts w:hint="default" w:ascii="Times New Roman" w:hAnsi="Times New Roman" w:cs="Times New Roman" w:eastAsiaTheme="minorEastAsia"/>
                <w:strike w:val="0"/>
                <w:dstrike w:val="0"/>
                <w:color w:val="auto"/>
                <w:highlight w:val="none"/>
                <w:lang w:val="en-US" w:eastAsia="zh-CN"/>
              </w:rPr>
              <w:t>不开发利用的污染地块，实施以防止污染扩散为目的的风险管控；对拟开发利用为居住用地和商业、学校、医疗、养老机构等公共设施用地的污染地块，实施以安全利用为目的的风险管控。</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土壤污染重点监管单位应当严格控制有毒有害物质排放，并按年度向所在地设区的市人民政府生态环境主管部门报告排放情况；建立土壤污染隐患排查制度，保证持续有效防止有毒有害物质渗漏、流失、扬散。</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列入建设用地土壤污染风险管控和修复名录的地块，不得作为住宅、公共管理与公共服务用地，应当采取风险管控措施或实施修复。对达到土壤污染风险评估报告确定的风险管控、修复目标的建设用地地块，土壤污染责任人、土地使用权人可以向自治区人民政府生态环境主管部门申请移出建设用地土壤污染风险管控和修复名录。</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5</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开展环境风险评估，制定突发环境事件应急预案并备案，配备应急能力和物资，建设环境应急队伍，并定期演练。完善区域应急联动机制。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1" w:hRule="atLeast"/>
          <w:jc w:val="center"/>
        </w:trPr>
        <w:tc>
          <w:tcPr>
            <w:tcW w:w="143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ZH45020530001</w:t>
            </w:r>
          </w:p>
        </w:tc>
        <w:tc>
          <w:tcPr>
            <w:tcW w:w="192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柳北区一般管控单元</w:t>
            </w:r>
          </w:p>
        </w:tc>
        <w:tc>
          <w:tcPr>
            <w:tcW w:w="126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一般管控单元</w:t>
            </w:r>
          </w:p>
        </w:tc>
        <w:tc>
          <w:tcPr>
            <w:tcW w:w="122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120"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永久基本农田一经划定，任何单位和个人不得擅自占用或改变用途。禁止任何单位和个人破坏永久基本农田耕作层。对永久基本农田实行严格保护，确保其面积不减少、土壤环境质量不下降，除法律规定的重点建设项目选址确实无法避让外，其他任何建设不得占用。</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在永久基本农田集中区域，不得新建可能造成土壤污染的建设项目；已经建成的，应当限期关闭拆除。</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禁止将重金属或者其他有毒有害物质含量超标的工业固体废物、生活垃圾或者污染土壤用于土地复垦。</w:t>
            </w:r>
          </w:p>
        </w:tc>
      </w:tr>
    </w:tbl>
    <w:p>
      <w:pPr>
        <w:widowControl/>
        <w:jc w:val="left"/>
        <w:rPr>
          <w:rFonts w:hint="default" w:ascii="Times New Roman" w:hAnsi="Times New Roman" w:cs="Times New Roman"/>
          <w:b/>
          <w:bCs/>
          <w:strike w:val="0"/>
          <w:dstrike w:val="0"/>
          <w:color w:val="auto"/>
          <w:sz w:val="32"/>
          <w:szCs w:val="32"/>
          <w:highlight w:val="none"/>
        </w:rPr>
      </w:pPr>
      <w:r>
        <w:rPr>
          <w:rFonts w:hint="default" w:ascii="Times New Roman" w:hAnsi="Times New Roman" w:cs="Times New Roman"/>
          <w:strike w:val="0"/>
          <w:dstrike w:val="0"/>
          <w:color w:val="auto"/>
          <w:highlight w:val="none"/>
        </w:rPr>
        <w:br w:type="page"/>
      </w:r>
    </w:p>
    <w:p>
      <w:pPr>
        <w:pStyle w:val="3"/>
        <w:rPr>
          <w:rFonts w:hint="default" w:ascii="Times New Roman" w:hAnsi="Times New Roman" w:cs="Times New Roman"/>
          <w:color w:val="auto"/>
          <w:highlight w:val="none"/>
        </w:rPr>
      </w:pPr>
      <w:bookmarkStart w:id="42" w:name="_Toc25821"/>
      <w:bookmarkStart w:id="43" w:name="_Toc8907"/>
      <w:bookmarkStart w:id="44" w:name="_Toc27601840"/>
      <w:bookmarkStart w:id="45" w:name="_Toc26002"/>
      <w:bookmarkStart w:id="46" w:name="_Toc7064"/>
      <w:bookmarkStart w:id="47" w:name="_Toc549"/>
      <w:bookmarkStart w:id="48" w:name="_Toc21278"/>
      <w:bookmarkStart w:id="49" w:name="_Toc19508"/>
      <w:bookmarkStart w:id="50" w:name="_Toc20338"/>
      <w:bookmarkStart w:id="51" w:name="_Toc1442"/>
      <w:bookmarkStart w:id="52" w:name="_Toc28919"/>
      <w:r>
        <w:rPr>
          <w:rFonts w:hint="default" w:ascii="Times New Roman" w:hAnsi="Times New Roman" w:cs="Times New Roman"/>
          <w:color w:val="auto"/>
          <w:highlight w:val="none"/>
          <w:lang w:val="en-US" w:eastAsia="zh-CN"/>
        </w:rPr>
        <w:t xml:space="preserve">5 </w:t>
      </w:r>
      <w:r>
        <w:rPr>
          <w:rFonts w:hint="default" w:ascii="Times New Roman" w:hAnsi="Times New Roman" w:cs="Times New Roman"/>
          <w:color w:val="auto"/>
          <w:highlight w:val="none"/>
        </w:rPr>
        <w:t>柳江区</w:t>
      </w:r>
      <w:bookmarkEnd w:id="42"/>
      <w:bookmarkEnd w:id="43"/>
      <w:bookmarkEnd w:id="44"/>
      <w:bookmarkEnd w:id="45"/>
      <w:bookmarkEnd w:id="46"/>
      <w:bookmarkEnd w:id="47"/>
      <w:bookmarkEnd w:id="48"/>
      <w:bookmarkEnd w:id="49"/>
      <w:bookmarkEnd w:id="50"/>
      <w:bookmarkEnd w:id="51"/>
      <w:bookmarkEnd w:id="52"/>
    </w:p>
    <w:p>
      <w:pPr>
        <w:pStyle w:val="25"/>
        <w:rPr>
          <w:rFonts w:hint="default" w:ascii="Times New Roman" w:hAnsi="Times New Roman" w:cs="Times New Roman"/>
          <w:strike w:val="0"/>
          <w:dstrike w:val="0"/>
          <w:color w:val="auto"/>
          <w:highlight w:val="none"/>
        </w:rPr>
      </w:pPr>
      <w:r>
        <w:rPr>
          <w:rFonts w:hint="default" w:ascii="Times New Roman" w:hAnsi="Times New Roman" w:cs="Times New Roman"/>
          <w:strike w:val="0"/>
          <w:dstrike w:val="0"/>
          <w:color w:val="auto"/>
          <w:highlight w:val="none"/>
        </w:rPr>
        <w:t>表</w:t>
      </w:r>
      <w:r>
        <w:rPr>
          <w:rFonts w:hint="default" w:cs="Times New Roman"/>
          <w:strike w:val="0"/>
          <w:dstrike w:val="0"/>
          <w:color w:val="auto"/>
          <w:highlight w:val="none"/>
          <w:lang w:val="en-US" w:eastAsia="zh-CN"/>
        </w:rPr>
        <w:t>5</w:t>
      </w:r>
      <w:r>
        <w:rPr>
          <w:rFonts w:hint="default" w:ascii="Times New Roman" w:hAnsi="Times New Roman" w:cs="Times New Roman"/>
          <w:strike w:val="0"/>
          <w:dstrike w:val="0"/>
          <w:color w:val="auto"/>
          <w:highlight w:val="none"/>
          <w:lang w:val="en-US" w:eastAsia="zh-CN"/>
        </w:rPr>
        <w:t>-1</w:t>
      </w:r>
      <w:r>
        <w:rPr>
          <w:rFonts w:hint="default" w:ascii="Times New Roman" w:hAnsi="Times New Roman" w:cs="Times New Roman"/>
          <w:strike w:val="0"/>
          <w:dstrike w:val="0"/>
          <w:color w:val="auto"/>
          <w:highlight w:val="none"/>
        </w:rPr>
        <w:t xml:space="preserve">  柳州市柳江区</w:t>
      </w:r>
      <w:r>
        <w:rPr>
          <w:rFonts w:hint="default" w:ascii="Times New Roman" w:hAnsi="Times New Roman" w:cs="Times New Roman"/>
          <w:strike w:val="0"/>
          <w:dstrike w:val="0"/>
          <w:color w:val="auto"/>
          <w:highlight w:val="none"/>
          <w:lang w:val="en-US" w:eastAsia="zh-CN"/>
        </w:rPr>
        <w:t>生态环境准入及管控要求</w:t>
      </w:r>
    </w:p>
    <w:tbl>
      <w:tblPr>
        <w:tblStyle w:val="15"/>
        <w:tblW w:w="14006" w:type="dxa"/>
        <w:jc w:val="center"/>
        <w:tblInd w:w="-1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933"/>
        <w:gridCol w:w="1254"/>
        <w:gridCol w:w="1200"/>
        <w:gridCol w:w="8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blHeader/>
          <w:jc w:val="center"/>
        </w:trPr>
        <w:tc>
          <w:tcPr>
            <w:tcW w:w="1476" w:type="dxa"/>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环境管控单元编码</w:t>
            </w:r>
          </w:p>
        </w:tc>
        <w:tc>
          <w:tcPr>
            <w:tcW w:w="1933" w:type="dxa"/>
            <w:shd w:val="clear" w:color="auto" w:fill="auto"/>
            <w:vAlign w:val="center"/>
          </w:tcPr>
          <w:p>
            <w:pPr>
              <w:pStyle w:val="29"/>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环境管控单元名称</w:t>
            </w:r>
          </w:p>
        </w:tc>
        <w:tc>
          <w:tcPr>
            <w:tcW w:w="1254" w:type="dxa"/>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环境管控单元类别</w:t>
            </w:r>
          </w:p>
        </w:tc>
        <w:tc>
          <w:tcPr>
            <w:tcW w:w="9343" w:type="dxa"/>
            <w:gridSpan w:val="2"/>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b/>
                <w:bCs/>
                <w:color w:val="auto"/>
                <w:highlight w:val="none"/>
                <w:lang w:val="en-US" w:eastAsia="zh-CN"/>
              </w:rPr>
              <w:t>生态环境准入及管控要求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5" w:hRule="atLeast"/>
          <w:jc w:val="center"/>
        </w:trPr>
        <w:tc>
          <w:tcPr>
            <w:tcW w:w="147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ZH45020610001</w:t>
            </w:r>
          </w:p>
        </w:tc>
        <w:tc>
          <w:tcPr>
            <w:tcW w:w="1933"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红水河流域岩溶山地水土保持生态保护红线</w:t>
            </w:r>
          </w:p>
        </w:tc>
        <w:tc>
          <w:tcPr>
            <w:tcW w:w="125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00"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143" w:type="dxa"/>
            <w:vMerge w:val="restart"/>
            <w:shd w:val="clear" w:color="auto" w:fill="auto"/>
            <w:vAlign w:val="center"/>
          </w:tcPr>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在符合现行法律法规前提下，除国家重大战略项目外，仅允许对生态功能不造成破坏的有限人为活动。</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生态公益林、天然林还需执行国家、自治区以及市县相应法律法规要求。</w:t>
            </w:r>
          </w:p>
          <w:p>
            <w:pPr>
              <w:pStyle w:val="27"/>
              <w:ind w:firstLine="0" w:firstLineChars="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6" w:hRule="atLeast"/>
          <w:jc w:val="center"/>
        </w:trPr>
        <w:tc>
          <w:tcPr>
            <w:tcW w:w="147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ZH45020610002</w:t>
            </w:r>
          </w:p>
        </w:tc>
        <w:tc>
          <w:tcPr>
            <w:tcW w:w="1933"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柳江-黔江流域水源涵养生态保护红线</w:t>
            </w:r>
          </w:p>
        </w:tc>
        <w:tc>
          <w:tcPr>
            <w:tcW w:w="125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8143" w:type="dxa"/>
            <w:vMerge w:val="continue"/>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4" w:hRule="atLeast"/>
          <w:jc w:val="center"/>
        </w:trPr>
        <w:tc>
          <w:tcPr>
            <w:tcW w:w="147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ZH45020610003</w:t>
            </w:r>
          </w:p>
        </w:tc>
        <w:tc>
          <w:tcPr>
            <w:tcW w:w="1933"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柳江区其他优先保护单元</w:t>
            </w:r>
          </w:p>
        </w:tc>
        <w:tc>
          <w:tcPr>
            <w:tcW w:w="125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143" w:type="dxa"/>
            <w:shd w:val="clear" w:color="auto" w:fill="auto"/>
            <w:vAlign w:val="center"/>
          </w:tcPr>
          <w:p>
            <w:pPr>
              <w:pStyle w:val="27"/>
              <w:ind w:firstLine="0" w:firstLineChars="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．除符合国土空间规划建设和布局要求，以及市级以上矿产资源总体规划、能源开发利用规划、线性工程规划外，原则上按限制开发区域的要求进行管理。</w:t>
            </w:r>
          </w:p>
          <w:p>
            <w:pPr>
              <w:pStyle w:val="27"/>
              <w:ind w:firstLine="0" w:firstLineChars="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矿产资源开发活动、新能源建设项目以及线性工程项目等要符合法律法规以及主体功能区规划、生态功能区划、环境保护总体规划、行业规划等规划要求，不得破坏生态、降低环境质量。要优化项目选址布局，严格控制开采量和开采区域，减少对生态空间的占用，不影响区域主导生态功能。要采取更加严格和有效的预防和保护措施，避免和减轻开发活动造成的生态破坏和环境污染。要严格落实项目环评的跟踪监测计划，项目开采（开工）、闭矿、跟踪监测要及时向所在地生态环境部门进行报备。加强矿山开采项目及其闭矿的环保督察，开展矿山区域生态环境质量飞行抽检。乡村振兴项目建设的审批简化和豁免要符合有关规定，不得影响区域主导生态功能、降低区域生态环境质量。</w:t>
            </w:r>
          </w:p>
          <w:p>
            <w:pPr>
              <w:pStyle w:val="27"/>
              <w:ind w:firstLine="0" w:firstLineChars="0"/>
              <w:rPr>
                <w:rFonts w:hint="default" w:eastAsiaTheme="minorEastAsia"/>
                <w:color w:val="auto"/>
                <w:highlight w:val="none"/>
              </w:rPr>
            </w:pPr>
            <w:r>
              <w:rPr>
                <w:rFonts w:hint="default" w:eastAsiaTheme="minorEastAsia"/>
                <w:color w:val="auto"/>
                <w:highlight w:val="none"/>
                <w:lang w:val="en-US" w:eastAsia="zh-CN"/>
              </w:rPr>
              <w:t>3．</w:t>
            </w:r>
            <w:r>
              <w:rPr>
                <w:rFonts w:hint="default" w:eastAsiaTheme="minorEastAsia"/>
                <w:color w:val="auto"/>
                <w:highlight w:val="none"/>
              </w:rPr>
              <w:t>（极）重度石漠化区</w:t>
            </w:r>
            <w:r>
              <w:rPr>
                <w:rFonts w:hint="default" w:eastAsiaTheme="minorEastAsia"/>
                <w:color w:val="auto"/>
                <w:highlight w:val="none"/>
                <w:lang w:eastAsia="zh-CN"/>
              </w:rPr>
              <w:t>内</w:t>
            </w:r>
            <w:r>
              <w:rPr>
                <w:rFonts w:hint="default" w:eastAsiaTheme="minorEastAsia"/>
                <w:color w:val="auto"/>
                <w:highlight w:val="none"/>
              </w:rPr>
              <w:t>严禁陡坡垦殖、过度放牧、乱砍滥伐树木等损害水土保持功能的活动。禁止在崩塌、滑坡危险区和泥石流易发区从事取土、挖砂、采石等可能造成水土流失的活动。控制人为造成新增水土流失的资源开发和建设项目等损害水土保持功能的活动。加强石漠化综合治理，通过保护天然林、封山育林、退耕还林、小流域治理、农村生态能源建设、改变耕作方式、草食动物舍饲圈养、生态扶贫和生态移民等措施，恢复自然植被，提高水源涵养和水土保持能力。</w:t>
            </w:r>
          </w:p>
          <w:p>
            <w:pPr>
              <w:pStyle w:val="27"/>
              <w:ind w:firstLine="0" w:firstLineChars="0"/>
              <w:rPr>
                <w:rFonts w:hint="default" w:eastAsiaTheme="minorEastAsia"/>
                <w:color w:val="auto"/>
                <w:highlight w:val="none"/>
              </w:rPr>
            </w:pPr>
            <w:r>
              <w:rPr>
                <w:rFonts w:hint="default" w:eastAsiaTheme="minorEastAsia"/>
                <w:color w:val="auto"/>
                <w:highlight w:val="none"/>
                <w:lang w:val="en-US" w:eastAsia="zh-CN"/>
              </w:rPr>
              <w:t>4．</w:t>
            </w:r>
            <w:r>
              <w:rPr>
                <w:rFonts w:hint="default" w:eastAsiaTheme="minorEastAsia"/>
                <w:color w:val="auto"/>
                <w:highlight w:val="none"/>
              </w:rPr>
              <w:t>生物多样性维护功能极重要区</w:t>
            </w:r>
            <w:r>
              <w:rPr>
                <w:rFonts w:hint="default" w:eastAsiaTheme="minorEastAsia"/>
                <w:color w:val="auto"/>
                <w:highlight w:val="none"/>
                <w:lang w:eastAsia="zh-CN"/>
              </w:rPr>
              <w:t>内</w:t>
            </w:r>
            <w:r>
              <w:rPr>
                <w:rFonts w:hint="default" w:eastAsiaTheme="minorEastAsia"/>
                <w:color w:val="auto"/>
                <w:highlight w:val="none"/>
              </w:rPr>
              <w:t>禁止滥捕、乱采、乱猎野生动植物。保护自然生态系统与重要物种栖息地，禁止无序采矿、毁林开荒、湿地和草地开垦等各种损害栖息地的经济社会活动和生产方式。防止生态建设导致栖息环境的改变。加强对外来物种入侵的控制，禁止在生物多样性保护功能区引进外来物种。加强生物多样性资源调查与监测，保护和修复自然生态系统和重要物种栖息地，实施生物多样性保护工程。</w:t>
            </w:r>
          </w:p>
          <w:p>
            <w:pPr>
              <w:pStyle w:val="27"/>
              <w:ind w:firstLine="0" w:firstLineChars="0"/>
              <w:rPr>
                <w:rFonts w:hint="default" w:eastAsiaTheme="minorEastAsia"/>
                <w:color w:val="auto"/>
                <w:highlight w:val="none"/>
              </w:rPr>
            </w:pPr>
            <w:r>
              <w:rPr>
                <w:rFonts w:hint="default" w:eastAsiaTheme="minorEastAsia"/>
                <w:color w:val="auto"/>
                <w:highlight w:val="none"/>
                <w:lang w:val="en-US" w:eastAsia="zh-CN"/>
              </w:rPr>
              <w:t>5．</w:t>
            </w:r>
            <w:r>
              <w:rPr>
                <w:rFonts w:hint="default" w:eastAsiaTheme="minorEastAsia"/>
                <w:color w:val="auto"/>
                <w:highlight w:val="none"/>
              </w:rPr>
              <w:t>依据《国家级公益林管理办法》（林资发〔2017〕34号）进行管理，严格控制勘查、开采矿藏和工程建设使用国家级公益林地。确需使用的，严格按照《建设项目使用林地审核审批管理办法》有关规定办理使用林地手续。涉及林木采伐的，按相关规定依法办理林木采伐手续。经审核审批同意使用的国家级公益林地，可按规定实行占补平衡。一级国家级公益林原则上不得开展生产经营活动，严禁打枝、采脂、割漆、剥树皮、掘根等行为。二级国家级公益林在不影响整体森林生态系统功能发挥的前提下，可以按照相关技术规程的规定开展抚育和更新性质的采伐。在不破坏森林植被的前提下，可以合理利用其林地资源，适度开展林下种植养殖和森林游憩等非木质资源开发与利用，科学发展林下经济。</w:t>
            </w:r>
          </w:p>
          <w:p>
            <w:pPr>
              <w:pStyle w:val="27"/>
              <w:ind w:firstLine="0" w:firstLineChars="0"/>
              <w:rPr>
                <w:rFonts w:hint="default" w:eastAsiaTheme="minorEastAsia"/>
                <w:color w:val="auto"/>
                <w:highlight w:val="none"/>
              </w:rPr>
            </w:pPr>
            <w:r>
              <w:rPr>
                <w:rFonts w:hint="default" w:eastAsiaTheme="minorEastAsia"/>
                <w:color w:val="auto"/>
                <w:highlight w:val="none"/>
                <w:lang w:val="en-US" w:eastAsia="zh-CN"/>
              </w:rPr>
              <w:t>6．</w:t>
            </w:r>
            <w:r>
              <w:rPr>
                <w:rFonts w:hint="default" w:eastAsiaTheme="minorEastAsia"/>
                <w:color w:val="auto"/>
                <w:highlight w:val="none"/>
              </w:rPr>
              <w:t>对所有</w:t>
            </w:r>
            <w:r>
              <w:rPr>
                <w:rFonts w:hint="eastAsia" w:eastAsiaTheme="minorEastAsia"/>
                <w:color w:val="auto"/>
                <w:highlight w:val="none"/>
                <w:lang w:eastAsia="zh-CN"/>
              </w:rPr>
              <w:t>天然林</w:t>
            </w:r>
            <w:r>
              <w:rPr>
                <w:rFonts w:hint="default" w:eastAsiaTheme="minorEastAsia"/>
                <w:color w:val="auto"/>
                <w:highlight w:val="none"/>
              </w:rPr>
              <w:t>实行保护，禁止毁林开垦、将天然林改造为人工林以及其他破坏天然林及其生态环境的行为。对纳入保护重点区域的天然林，除森林病虫害防治、森林防火等维护天然林生态系统健康的必要措施外，禁止其他一切生产经营活动。开展天然林抚育作业的，必须编制作业设计，经林业主管部门审查批准后实施。严格控制天然林地转为其他用途，除国防建设、国家重大工程项目建设特色需要外，禁止占用保护重点区域的天然林地。在不破坏地表植被、不影响生物多样性保护前提下，可在天然林地适度发展生态旅游、休闲康养、特色种植养殖产业。</w:t>
            </w:r>
          </w:p>
          <w:p>
            <w:pPr>
              <w:pStyle w:val="27"/>
              <w:keepNext w:val="0"/>
              <w:keepLines w:val="0"/>
              <w:suppressLineNumbers w:val="0"/>
              <w:adjustRightInd w:val="0"/>
              <w:snapToGrid w:val="0"/>
              <w:spacing w:before="0" w:beforeAutospacing="0" w:after="0" w:afterAutospacing="0"/>
              <w:ind w:left="0" w:right="0"/>
              <w:rPr>
                <w:rFonts w:hint="default" w:ascii="Times New Roman" w:hAnsi="Times New Roman" w:cs="Times New Roman" w:eastAsiaTheme="minorEastAsia"/>
                <w:strike w:val="0"/>
                <w:dstrike w:val="0"/>
                <w:color w:val="auto"/>
                <w:szCs w:val="21"/>
                <w:highlight w:val="none"/>
              </w:rPr>
            </w:pPr>
            <w:r>
              <w:rPr>
                <w:rFonts w:hint="default" w:eastAsiaTheme="minorEastAsia"/>
                <w:color w:val="auto"/>
                <w:highlight w:val="none"/>
                <w:lang w:val="en-US" w:eastAsia="zh-CN"/>
              </w:rPr>
              <w:t>7．大气一类功能区禁止新建、改建、扩建排放大气污染物的工业企业；筛查大气一类功能区是否存在大气污染物排放工业企业，对区域内已建涉大气污染物排放企业限期搬迁或依法关闭。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76"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eastAsiaTheme="minorEastAsia"/>
                <w:color w:val="auto"/>
                <w:highlight w:val="none"/>
              </w:rPr>
            </w:pPr>
            <w:r>
              <w:rPr>
                <w:rFonts w:hint="default" w:eastAsiaTheme="minorEastAsia"/>
                <w:color w:val="auto"/>
                <w:highlight w:val="none"/>
              </w:rPr>
              <w:t>ZH45020620001</w:t>
            </w:r>
          </w:p>
        </w:tc>
        <w:tc>
          <w:tcPr>
            <w:tcW w:w="1933"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柳州市柳江区新兴工业园重点管控单元</w:t>
            </w:r>
          </w:p>
        </w:tc>
        <w:tc>
          <w:tcPr>
            <w:tcW w:w="125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143" w:type="dxa"/>
            <w:shd w:val="clear" w:color="auto" w:fill="auto"/>
            <w:vAlign w:val="center"/>
          </w:tcPr>
          <w:p>
            <w:pPr>
              <w:pStyle w:val="27"/>
              <w:spacing w:line="400" w:lineRule="exact"/>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1．</w:t>
            </w:r>
            <w:r>
              <w:rPr>
                <w:rFonts w:hint="default" w:ascii="Times New Roman" w:hAnsi="Times New Roman" w:eastAsia="宋体" w:cs="Times New Roman"/>
                <w:strike w:val="0"/>
                <w:dstrike w:val="0"/>
                <w:color w:val="auto"/>
                <w:sz w:val="21"/>
                <w:szCs w:val="21"/>
                <w:highlight w:val="none"/>
              </w:rPr>
              <w:t>入园项目必须符合国家、自治区产业政策、供地政策及园区产业定位。</w:t>
            </w:r>
          </w:p>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cs="Times New Roman"/>
                <w:strike w:val="0"/>
                <w:dstrike w:val="0"/>
                <w:color w:val="auto"/>
                <w:sz w:val="21"/>
                <w:szCs w:val="21"/>
                <w:highlight w:val="none"/>
                <w:lang w:val="en-US" w:eastAsia="zh-CN"/>
              </w:rPr>
              <w:t>2</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居住用地周边严控布局潜在污染扰民和环境风险突出的建设项目。</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strike w:val="0"/>
                <w:dstrike w:val="0"/>
                <w:color w:val="auto"/>
                <w:sz w:val="21"/>
                <w:szCs w:val="21"/>
                <w:highlight w:val="none"/>
                <w:lang w:val="en-US" w:eastAsia="zh-CN"/>
              </w:rPr>
              <w:t>3</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不得引进化工、三类工业等与园区产业定位不符的产业。</w:t>
            </w:r>
            <w:r>
              <w:rPr>
                <w:rFonts w:hint="default" w:ascii="Times New Roman" w:hAnsi="Times New Roman" w:eastAsia="宋体" w:cs="Times New Roman"/>
                <w:color w:val="auto"/>
                <w:sz w:val="21"/>
                <w:highlight w:val="none"/>
                <w:lang w:val="en-US" w:eastAsia="zh-CN"/>
              </w:rPr>
              <w:t>严格控制引进涉铅、汞、铬、镉和类金属砷等重金属污染物项目，不得引进园区废水纳污水体无环境容量的项目</w:t>
            </w:r>
            <w:r>
              <w:rPr>
                <w:rFonts w:hint="default" w:ascii="Times New Roman" w:hAnsi="Times New Roman" w:eastAsia="宋体" w:cs="Times New Roman"/>
                <w:strike w:val="0"/>
                <w:dstrike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1" w:hRule="atLeast"/>
          <w:jc w:val="center"/>
        </w:trPr>
        <w:tc>
          <w:tcPr>
            <w:tcW w:w="147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33"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143"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1</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落实煤炭及其他颗粒状物料储运全封闭防尘措施。</w:t>
            </w:r>
          </w:p>
          <w:p>
            <w:pPr>
              <w:pStyle w:val="27"/>
              <w:keepNext w:val="0"/>
              <w:keepLines w:val="0"/>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2</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大力推进低氮燃烧和烟气脱硝，有序推进集中供气、供热，依法淘汰取缔不符合环保准入条件的小型燃煤锅炉。</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lang w:eastAsia="zh-CN"/>
              </w:rPr>
            </w:pPr>
            <w:r>
              <w:rPr>
                <w:rFonts w:hint="default" w:ascii="Times New Roman" w:hAnsi="Times New Roman" w:eastAsia="宋体" w:cs="Times New Roman"/>
                <w:strike w:val="0"/>
                <w:dstrike w:val="0"/>
                <w:color w:val="auto"/>
                <w:kern w:val="2"/>
                <w:sz w:val="21"/>
                <w:szCs w:val="21"/>
                <w:highlight w:val="none"/>
                <w:lang w:val="en-US" w:eastAsia="zh-CN" w:bidi="ar-SA"/>
              </w:rPr>
              <w:t>3</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完善工业园区污水集中处理设施和配套管网。实行“清污分流、雨污分流”，实现废水分类收集、分质处理，入园企业</w:t>
            </w:r>
            <w:r>
              <w:rPr>
                <w:rFonts w:hint="default" w:ascii="Times New Roman" w:hAnsi="Times New Roman" w:cs="Times New Roman"/>
                <w:strike w:val="0"/>
                <w:dstrike w:val="0"/>
                <w:color w:val="auto"/>
                <w:sz w:val="21"/>
                <w:szCs w:val="21"/>
                <w:highlight w:val="none"/>
                <w:lang w:eastAsia="zh-CN"/>
              </w:rPr>
              <w:t>应在</w:t>
            </w:r>
            <w:r>
              <w:rPr>
                <w:rFonts w:hint="default" w:ascii="Times New Roman" w:hAnsi="Times New Roman" w:eastAsia="宋体" w:cs="Times New Roman"/>
                <w:strike w:val="0"/>
                <w:dstrike w:val="0"/>
                <w:color w:val="auto"/>
                <w:sz w:val="21"/>
                <w:szCs w:val="21"/>
                <w:highlight w:val="none"/>
              </w:rPr>
              <w:t>达到国家或地方规定的排放标准</w:t>
            </w:r>
            <w:r>
              <w:rPr>
                <w:rFonts w:hint="default" w:ascii="Times New Roman" w:hAnsi="Times New Roman" w:cs="Times New Roman"/>
                <w:strike w:val="0"/>
                <w:dstrike w:val="0"/>
                <w:color w:val="auto"/>
                <w:sz w:val="21"/>
                <w:szCs w:val="21"/>
                <w:highlight w:val="none"/>
                <w:lang w:eastAsia="zh-CN"/>
              </w:rPr>
              <w:t>或达到运营单位与纳管企业约定的水质水量后，</w:t>
            </w:r>
            <w:r>
              <w:rPr>
                <w:rFonts w:hint="default" w:ascii="Times New Roman" w:hAnsi="Times New Roman" w:eastAsia="宋体" w:cs="Times New Roman"/>
                <w:strike w:val="0"/>
                <w:dstrike w:val="0"/>
                <w:color w:val="auto"/>
                <w:sz w:val="21"/>
                <w:szCs w:val="21"/>
                <w:highlight w:val="none"/>
              </w:rPr>
              <w:t>接入集中式污水处理设施处理</w:t>
            </w:r>
            <w:r>
              <w:rPr>
                <w:rFonts w:hint="default" w:ascii="Times New Roman" w:hAnsi="Times New Roman" w:eastAsia="宋体" w:cs="Times New Roman"/>
                <w:color w:val="auto"/>
                <w:kern w:val="0"/>
                <w:sz w:val="21"/>
                <w:szCs w:val="21"/>
                <w:highlight w:val="none"/>
                <w:lang w:bidi="ar"/>
              </w:rPr>
              <w:t>并实时监控。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7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33"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143" w:type="dxa"/>
            <w:shd w:val="clear" w:color="auto" w:fill="auto"/>
            <w:vAlign w:val="center"/>
          </w:tcPr>
          <w:p>
            <w:pPr>
              <w:pStyle w:val="27"/>
              <w:keepNext w:val="0"/>
              <w:keepLines w:val="0"/>
              <w:numPr>
                <w:ilvl w:val="-1"/>
                <w:numId w:val="0"/>
              </w:numPr>
              <w:suppressLineNumbers w:val="0"/>
              <w:spacing w:before="0" w:beforeAutospacing="0" w:after="0" w:afterAutospacing="0"/>
              <w:ind w:left="0" w:right="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1</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涉重企业要采用新技术、新工艺，加快提标升级改造，实现全面达标排放。坚决淘汰不符合国家产业政策的落后生产工艺装备。</w:t>
            </w:r>
            <w:r>
              <w:rPr>
                <w:rFonts w:hint="default" w:ascii="Times New Roman" w:hAnsi="Times New Roman" w:eastAsia="宋体" w:cs="Times New Roman"/>
                <w:strike w:val="0"/>
                <w:dstrike w:val="0"/>
                <w:color w:val="auto"/>
                <w:sz w:val="21"/>
                <w:szCs w:val="21"/>
                <w:highlight w:val="none"/>
                <w:lang w:val="en-US" w:eastAsia="zh-CN"/>
              </w:rPr>
              <w:t>防止对土壤和地下水造成污染。</w:t>
            </w:r>
          </w:p>
          <w:p>
            <w:pPr>
              <w:pStyle w:val="27"/>
              <w:keepNext w:val="0"/>
              <w:keepLines w:val="0"/>
              <w:numPr>
                <w:ilvl w:val="0"/>
                <w:numId w:val="0"/>
              </w:numPr>
              <w:suppressLineNumbers w:val="0"/>
              <w:spacing w:before="0" w:beforeAutospacing="0" w:after="0" w:afterAutospacing="0"/>
              <w:ind w:right="0" w:rightChars="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eastAsia="宋体" w:cs="Times New Roman"/>
                <w:strike w:val="0"/>
                <w:dstrike w:val="0"/>
                <w:color w:val="auto"/>
                <w:sz w:val="21"/>
                <w:szCs w:val="21"/>
                <w:highlight w:val="none"/>
              </w:rPr>
              <w:t>2</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列入建设用地土壤污染风险管控和修复名录的地块，不得作为住宅、公共管理与公共服务用地，应当采取风险管控措施或实施修复。对达到土壤污染风险评估报告确定的风险管控、修复目标的建设用地地块，可以申请移出建设用地土壤污染风险管控和修复名录。</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sz w:val="21"/>
                <w:szCs w:val="21"/>
                <w:highlight w:val="none"/>
              </w:rPr>
              <w:t>3</w:t>
            </w:r>
            <w:r>
              <w:rPr>
                <w:rFonts w:hint="default" w:ascii="Times New Roman" w:hAnsi="Times New Roman" w:eastAsia="宋体"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对暂不开发利用的污染地块，实施以防止污染扩散为目的的风险管控；对拟开发利用为居住用地和商业、学校、医疗、养老机构等公共设施用地的污染地块，实施以安全利用为目的的风险管控。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9" w:hRule="atLeast"/>
          <w:jc w:val="center"/>
        </w:trPr>
        <w:tc>
          <w:tcPr>
            <w:tcW w:w="147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33"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eastAsia="zh-CN"/>
              </w:rPr>
              <w:t>资源开发利用效率要求</w:t>
            </w:r>
          </w:p>
        </w:tc>
        <w:tc>
          <w:tcPr>
            <w:tcW w:w="8143" w:type="dxa"/>
            <w:shd w:val="clear" w:color="auto" w:fill="auto"/>
            <w:vAlign w:val="center"/>
          </w:tcPr>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sz w:val="21"/>
                <w:szCs w:val="21"/>
                <w:highlight w:val="none"/>
              </w:rPr>
              <w:t>鼓励园区采用综合能源方式，推广使用清洁能源、低碳能源</w:t>
            </w:r>
            <w:r>
              <w:rPr>
                <w:rFonts w:hint="default" w:ascii="Times New Roman" w:hAnsi="Times New Roman" w:cs="Times New Roman"/>
                <w:strike w:val="0"/>
                <w:dstrike w:val="0"/>
                <w:color w:val="auto"/>
                <w:sz w:val="21"/>
                <w:szCs w:val="21"/>
                <w:highlight w:val="none"/>
                <w:lang w:eastAsia="zh-CN"/>
              </w:rPr>
              <w:t>。</w:t>
            </w:r>
            <w:r>
              <w:rPr>
                <w:rFonts w:hint="default" w:ascii="Times New Roman" w:hAnsi="Times New Roman" w:eastAsia="宋体" w:cs="Times New Roman"/>
                <w:strike w:val="0"/>
                <w:dstrike w:val="0"/>
                <w:color w:val="auto"/>
                <w:sz w:val="21"/>
                <w:szCs w:val="21"/>
                <w:highlight w:val="none"/>
              </w:rPr>
              <w:t>推动工业园区集约利用水资源，实行水资源梯级优化利用和废水集中处理回用</w:t>
            </w:r>
            <w:r>
              <w:rPr>
                <w:rFonts w:hint="default" w:ascii="Times New Roman" w:hAnsi="Times New Roman" w:cs="Times New Roman"/>
                <w:strike w:val="0"/>
                <w:dstrike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76"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ZH45020620002</w:t>
            </w:r>
          </w:p>
        </w:tc>
        <w:tc>
          <w:tcPr>
            <w:tcW w:w="1933"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commentRangeStart w:id="6"/>
            <w:r>
              <w:rPr>
                <w:rFonts w:hint="default" w:eastAsiaTheme="minorEastAsia"/>
                <w:color w:val="auto"/>
                <w:highlight w:val="none"/>
              </w:rPr>
              <w:t>柳州市鱼峰工业区重点管控单元</w:t>
            </w:r>
            <w:commentRangeEnd w:id="6"/>
            <w:r>
              <w:rPr>
                <w:highlight w:val="none"/>
              </w:rPr>
              <w:commentReference w:id="6"/>
            </w:r>
          </w:p>
        </w:tc>
        <w:tc>
          <w:tcPr>
            <w:tcW w:w="125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143" w:type="dxa"/>
            <w:shd w:val="clear" w:color="auto" w:fill="auto"/>
            <w:vAlign w:val="center"/>
          </w:tcPr>
          <w:p>
            <w:pPr>
              <w:pStyle w:val="27"/>
              <w:keepNext w:val="0"/>
              <w:keepLines w:val="0"/>
              <w:suppressLineNumbers w:val="0"/>
              <w:spacing w:before="0" w:beforeAutospacing="0" w:after="0" w:afterAutospacing="0"/>
              <w:ind w:left="0" w:leftChars="0" w:right="0" w:rightChars="0"/>
              <w:rPr>
                <w:rFonts w:hint="default" w:ascii="Times New Roman" w:hAnsi="Times New Roman" w:eastAsia="宋体" w:cs="Times New Roman"/>
                <w:strike w:val="0"/>
                <w:dstrike w:val="0"/>
                <w:color w:val="auto"/>
                <w:sz w:val="21"/>
                <w:szCs w:val="21"/>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eastAsia="宋体" w:cs="Times New Roman"/>
                <w:strike w:val="0"/>
                <w:dstrike w:val="0"/>
                <w:color w:val="auto"/>
                <w:sz w:val="21"/>
                <w:szCs w:val="21"/>
                <w:highlight w:val="none"/>
              </w:rPr>
              <w:t>入园项目必须符合国家、自治区产业政策、供地政策及园区产业定位。</w:t>
            </w:r>
          </w:p>
          <w:p>
            <w:pPr>
              <w:pStyle w:val="27"/>
              <w:keepNext w:val="0"/>
              <w:keepLines w:val="0"/>
              <w:suppressLineNumbers w:val="0"/>
              <w:spacing w:before="0" w:beforeAutospacing="0" w:after="0" w:afterAutospacing="0"/>
              <w:ind w:left="0" w:right="0"/>
              <w:rPr>
                <w:rFonts w:hint="default"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居住用地周边严控布局潜在污染扰民和环境风险突出的建设项目。洛维片区边界划定防护绿地，种植抗污染性强的阔叶林防护带。将对环境影响相对较小的企业放在区域工业用地的西侧，以减少对葡萄山西侧生活区的影响。</w:t>
            </w:r>
          </w:p>
          <w:p>
            <w:pPr>
              <w:pStyle w:val="27"/>
              <w:keepNext w:val="0"/>
              <w:keepLines w:val="0"/>
              <w:numPr>
                <w:ilvl w:val="0"/>
                <w:numId w:val="0"/>
              </w:numPr>
              <w:suppressLineNumbers w:val="0"/>
              <w:spacing w:before="0" w:beforeAutospacing="0" w:after="0" w:afterAutospacing="0"/>
              <w:ind w:right="0" w:rightChars="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新建大气污染物排放的工业项目，原则上应当进入工业园区或者工业集聚区；加快布局分散的企业向园区集中。</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cs="Times New Roman" w:eastAsiaTheme="minorEastAsia"/>
                <w:strike w:val="0"/>
                <w:dstrike w:val="0"/>
                <w:color w:val="auto"/>
                <w:highlight w:val="none"/>
                <w:lang w:val="en-US" w:eastAsia="zh-CN"/>
              </w:rPr>
              <w:t>产业园</w:t>
            </w:r>
            <w:r>
              <w:rPr>
                <w:rFonts w:hint="default" w:ascii="Times New Roman" w:hAnsi="Times New Roman" w:cs="Times New Roman" w:eastAsiaTheme="minorEastAsia"/>
                <w:strike w:val="0"/>
                <w:dstrike w:val="0"/>
                <w:color w:val="auto"/>
                <w:highlight w:val="none"/>
                <w:lang w:val="en-US" w:eastAsia="zh-CN"/>
              </w:rPr>
              <w:t>区管理机构应将规划环评结论及审查意见落实到规划中，负责统筹区域内生态环境基础设施建设，不得引入不符合规划环评结论及审查意见的项目入园。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3" w:hRule="atLeast"/>
          <w:jc w:val="center"/>
        </w:trPr>
        <w:tc>
          <w:tcPr>
            <w:tcW w:w="147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33"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143" w:type="dxa"/>
            <w:shd w:val="clear" w:color="auto" w:fill="auto"/>
            <w:vAlign w:val="center"/>
          </w:tcPr>
          <w:p>
            <w:pPr>
              <w:pStyle w:val="27"/>
              <w:keepNext w:val="0"/>
              <w:keepLines w:val="0"/>
              <w:numPr>
                <w:ilvl w:val="0"/>
                <w:numId w:val="0"/>
              </w:numPr>
              <w:suppressLineNumbers w:val="0"/>
              <w:spacing w:before="0" w:beforeAutospacing="0" w:after="0" w:afterAutospacing="0"/>
              <w:ind w:right="0" w:rightChars="0"/>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深化园区工业污染治理，持续推进工业污染源全面达标排放，开展烟气高效脱硫脱硝</w:t>
            </w:r>
            <w:r>
              <w:rPr>
                <w:rFonts w:hint="default" w:cs="Times New Roman" w:eastAsiaTheme="minorEastAsia"/>
                <w:strike w:val="0"/>
                <w:dstrike w:val="0"/>
                <w:color w:val="auto"/>
                <w:highlight w:val="none"/>
                <w:lang w:val="en-US" w:eastAsia="zh-CN"/>
              </w:rPr>
              <w:t>、</w:t>
            </w:r>
            <w:r>
              <w:rPr>
                <w:rFonts w:hint="default" w:ascii="Times New Roman" w:hAnsi="Times New Roman" w:cs="Times New Roman" w:eastAsiaTheme="minorEastAsia"/>
                <w:strike w:val="0"/>
                <w:dstrike w:val="0"/>
                <w:color w:val="auto"/>
                <w:highlight w:val="none"/>
                <w:lang w:val="en-US" w:eastAsia="zh-CN"/>
              </w:rPr>
              <w:t>除尘改造。推进各类园区技术、工艺、设备等生态化、循环化改造，积极推广园区集中供热。</w:t>
            </w:r>
            <w:r>
              <w:rPr>
                <w:rFonts w:hint="default" w:ascii="Times New Roman" w:hAnsi="Times New Roman" w:cs="Times New Roman" w:eastAsiaTheme="minorEastAsia"/>
                <w:strike w:val="0"/>
                <w:dstrike w:val="0"/>
                <w:color w:val="auto"/>
                <w:highlight w:val="none"/>
              </w:rPr>
              <w:t>强化工业企业无组织排放管理。</w:t>
            </w:r>
            <w:r>
              <w:rPr>
                <w:rFonts w:hint="default" w:ascii="Times New Roman" w:hAnsi="Times New Roman" w:cs="Times New Roman" w:eastAsiaTheme="minorEastAsia"/>
                <w:strike w:val="0"/>
                <w:dstrike w:val="0"/>
                <w:color w:val="auto"/>
                <w:highlight w:val="none"/>
                <w:lang w:val="en-US" w:eastAsia="zh-CN"/>
              </w:rPr>
              <w:t>强化园区堆场扬尘控制。推动重点行业VOCs的排放管控，加强VOCs排放企业源头控制。</w:t>
            </w:r>
          </w:p>
          <w:p>
            <w:pPr>
              <w:pStyle w:val="27"/>
              <w:keepNext w:val="0"/>
              <w:keepLines w:val="0"/>
              <w:numPr>
                <w:ilvl w:val="0"/>
                <w:numId w:val="0"/>
              </w:numPr>
              <w:suppressLineNumbers w:val="0"/>
              <w:spacing w:before="0" w:beforeAutospacing="0" w:after="0" w:afterAutospacing="0"/>
              <w:ind w:right="0" w:rightChars="0"/>
              <w:rPr>
                <w:rFonts w:hint="default" w:ascii="Times New Roman" w:hAnsi="Times New Roman" w:cs="Times New Roman" w:eastAsiaTheme="minorEastAsia"/>
                <w:strike w:val="0"/>
                <w:dstrike w:val="0"/>
                <w:color w:val="auto"/>
                <w:highlight w:val="none"/>
                <w:lang w:val="en-US" w:eastAsia="zh-CN"/>
              </w:rPr>
            </w:pPr>
            <w:r>
              <w:rPr>
                <w:rFonts w:hint="eastAsia"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逐步完成工业集聚区集中式污水处理设施建设，确保已建污水处理设施稳定运行及达标排放。园区集中式污水处理设施总排口安装自动监控系统、视频监控系统，并与生态环境主管部门联网。按照“清污分流、雨污分流”原则，实施废水分类收集、分质处理。</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rPr>
              <w:t>园区及园区企业排放水污染物，要满足国家或者地方规定的水污染物排放标准和重点水污染物排放总量控制指标。直接外排水环境的，执行国家或者地方规定的标准要求；经城镇污水集中处理设施处理后排放的，执行市政部门管理要求；经园区污水集中处理设施处理后排放的，执行园区管理部门相关要求</w:t>
            </w:r>
            <w:r>
              <w:rPr>
                <w:rFonts w:hint="default" w:ascii="Times New Roman" w:hAnsi="Times New Roman" w:cs="Times New Roman" w:eastAsiaTheme="minorEastAsia"/>
                <w:strike w:val="0"/>
                <w:dstrike w:val="0"/>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1" w:hRule="atLeast"/>
          <w:jc w:val="center"/>
        </w:trPr>
        <w:tc>
          <w:tcPr>
            <w:tcW w:w="147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33"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143"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开展环境风险评估，制定突发环境事件应急预案并备案，配备应急能力和物资，建设环境应急队伍，并定期演练。企业、园区与地方人民政府环境应急预案应当有机衔接。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2" w:hRule="atLeast"/>
          <w:jc w:val="center"/>
        </w:trPr>
        <w:tc>
          <w:tcPr>
            <w:tcW w:w="1476"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ZH45020620003</w:t>
            </w:r>
          </w:p>
        </w:tc>
        <w:tc>
          <w:tcPr>
            <w:tcW w:w="1933"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柳江区城镇空间重点管控单元</w:t>
            </w:r>
          </w:p>
        </w:tc>
        <w:tc>
          <w:tcPr>
            <w:tcW w:w="125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143" w:type="dxa"/>
            <w:shd w:val="clear" w:color="auto" w:fill="auto"/>
            <w:vAlign w:val="center"/>
          </w:tcPr>
          <w:p>
            <w:pPr>
              <w:pStyle w:val="27"/>
              <w:keepNext w:val="0"/>
              <w:keepLines w:val="0"/>
              <w:suppressLineNumbers w:val="0"/>
              <w:spacing w:before="0" w:beforeAutospacing="0" w:after="0" w:afterAutospacing="0"/>
              <w:ind w:left="0" w:right="0"/>
              <w:rPr>
                <w:rFonts w:hint="default" w:cs="Times New Roman" w:eastAsiaTheme="minorEastAsia"/>
                <w:strike w:val="0"/>
                <w:dstrike w:val="0"/>
                <w:color w:val="auto"/>
                <w:highlight w:val="none"/>
                <w:lang w:val="en-US" w:eastAsia="zh-CN"/>
              </w:rPr>
            </w:pPr>
            <w:r>
              <w:rPr>
                <w:rFonts w:hint="eastAsia"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．城市建成区内的钢铁、石油、化工、有色金属、水泥、平板玻璃、建筑陶瓷、砖瓦等行业中的高排放、高污染项目，应当逐步进行搬迁、改造或者转型、退出。</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．城市市区、镇和村庄居民区、文化教育科学研究区等人口集中区域禁止设置畜禽养殖场、养殖小区。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7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33"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143"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color w:val="auto"/>
                <w:highlight w:val="none"/>
                <w:lang w:val="en-US" w:eastAsia="zh-CN"/>
              </w:rPr>
              <w:t>加大燃煤小锅炉淘汰力度。依法依规加快淘汰老旧柴油货车。严格控制施工和道路扬尘污染。禁止露天焚烧</w:t>
            </w:r>
            <w:r>
              <w:rPr>
                <w:rFonts w:hint="default" w:ascii="Times New Roman" w:hAnsi="Times New Roman" w:cs="Times New Roman" w:eastAsiaTheme="minorEastAsia"/>
                <w:strike w:val="0"/>
                <w:dstrike w:val="0"/>
                <w:color w:val="auto"/>
                <w:highlight w:val="none"/>
                <w:lang w:val="en-US" w:eastAsia="zh-CN"/>
              </w:rPr>
              <w:t>产生</w:t>
            </w:r>
            <w:r>
              <w:rPr>
                <w:rFonts w:hint="default"/>
                <w:color w:val="auto"/>
                <w:highlight w:val="none"/>
                <w:lang w:val="en-US" w:eastAsia="zh-CN"/>
              </w:rPr>
              <w:t>有毒有害烟尘和恶臭气体的物质。鼓励建筑装修、汽修喷涂作业、干洗等行业，使用低毒、低挥发性溶剂。</w:t>
            </w:r>
          </w:p>
          <w:p>
            <w:pPr>
              <w:pStyle w:val="27"/>
              <w:keepNext w:val="0"/>
              <w:keepLines w:val="0"/>
              <w:numPr>
                <w:ilvl w:val="0"/>
                <w:numId w:val="0"/>
              </w:numPr>
              <w:suppressLineNumbers w:val="0"/>
              <w:spacing w:before="0" w:beforeAutospacing="0" w:after="0" w:afterAutospacing="0"/>
              <w:ind w:left="0" w:right="0"/>
              <w:rPr>
                <w:rFonts w:hint="default"/>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cs="Times New Roman" w:eastAsiaTheme="minorEastAsia"/>
                <w:strike w:val="0"/>
                <w:dstrike w:val="0"/>
                <w:color w:val="auto"/>
                <w:highlight w:val="none"/>
                <w:lang w:eastAsia="zh-CN"/>
              </w:rPr>
              <w:t>城市建成区基本</w:t>
            </w:r>
            <w:r>
              <w:rPr>
                <w:rFonts w:hint="default" w:ascii="Times New Roman" w:hAnsi="Times New Roman" w:cs="Times New Roman" w:eastAsiaTheme="minorEastAsia"/>
                <w:strike w:val="0"/>
                <w:dstrike w:val="0"/>
                <w:color w:val="auto"/>
                <w:highlight w:val="none"/>
                <w:lang w:eastAsia="zh-CN"/>
              </w:rPr>
              <w:t>消除生活污水直排口，有效杜绝污水直排水体。</w:t>
            </w:r>
          </w:p>
          <w:p>
            <w:pPr>
              <w:pStyle w:val="27"/>
              <w:keepNext w:val="0"/>
              <w:keepLines w:val="0"/>
              <w:numPr>
                <w:ilvl w:val="0"/>
                <w:numId w:val="0"/>
              </w:numPr>
              <w:suppressLineNumbers w:val="0"/>
              <w:spacing w:before="0" w:beforeAutospacing="0" w:after="0" w:afterAutospacing="0"/>
              <w:ind w:left="0" w:right="0"/>
              <w:rPr>
                <w:rFonts w:hint="default"/>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．提高污水处理能力，完善既有污水处理厂和新建、扩建污水处理厂配套管网建设，基本实现城中村、老旧城区和城乡结合部生活污水收集处理。</w:t>
            </w:r>
          </w:p>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9" w:hRule="atLeast"/>
          <w:jc w:val="center"/>
        </w:trPr>
        <w:tc>
          <w:tcPr>
            <w:tcW w:w="147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33"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eastAsia="zh-CN"/>
              </w:rPr>
            </w:pPr>
            <w:r>
              <w:rPr>
                <w:rFonts w:hint="default" w:cs="Times New Roman" w:eastAsiaTheme="minorEastAsia"/>
                <w:strike w:val="0"/>
                <w:dstrike w:val="0"/>
                <w:color w:val="auto"/>
                <w:highlight w:val="none"/>
                <w:lang w:eastAsia="zh-CN"/>
              </w:rPr>
              <w:t>资源开发利用效率要求</w:t>
            </w:r>
          </w:p>
        </w:tc>
        <w:tc>
          <w:tcPr>
            <w:tcW w:w="8143"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olor w:val="auto"/>
                <w:highlight w:val="none"/>
                <w:lang w:val="en-US" w:eastAsia="zh-CN"/>
              </w:rPr>
              <w:t>禁燃区内禁止销售、使用原煤等高污染燃料，</w:t>
            </w:r>
            <w:r>
              <w:rPr>
                <w:rFonts w:hint="default" w:ascii="Times New Roman" w:hAnsi="Times New Roman" w:cs="Times New Roman" w:eastAsiaTheme="minorEastAsia"/>
                <w:strike w:val="0"/>
                <w:dstrike w:val="0"/>
                <w:color w:val="auto"/>
                <w:highlight w:val="none"/>
                <w:lang w:val="en-US" w:eastAsia="zh-CN"/>
              </w:rPr>
              <w:t>现有</w:t>
            </w:r>
            <w:r>
              <w:rPr>
                <w:rFonts w:hint="default"/>
                <w:color w:val="auto"/>
                <w:highlight w:val="none"/>
                <w:lang w:val="en-US" w:eastAsia="zh-CN"/>
              </w:rPr>
              <w:t>燃用高污染燃料的设施应在规定期限内停止燃用高污染燃料，改用天然气、液化石油气、电</w:t>
            </w:r>
            <w:r>
              <w:rPr>
                <w:rFonts w:hint="default" w:ascii="Times New Roman" w:hAnsi="Times New Roman" w:cs="Times New Roman" w:eastAsiaTheme="minorEastAsia"/>
                <w:strike w:val="0"/>
                <w:dstrike w:val="0"/>
                <w:color w:val="auto"/>
                <w:highlight w:val="none"/>
                <w:lang w:val="en-US" w:eastAsia="zh-CN"/>
              </w:rPr>
              <w:t>或者其他清洁能源，其余按照《柳州市人民政府关于划定柳州市高污染燃料禁燃区的通告》要求实施管理</w:t>
            </w:r>
            <w:r>
              <w:rPr>
                <w:rFonts w:hint="default"/>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1476"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ZH45020620004</w:t>
            </w:r>
          </w:p>
        </w:tc>
        <w:tc>
          <w:tcPr>
            <w:tcW w:w="1933"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柳江区布局敏感区重点管</w:t>
            </w:r>
            <w:r>
              <w:rPr>
                <w:highlight w:val="none"/>
              </w:rPr>
              <w:commentReference w:id="7"/>
            </w:r>
            <w:r>
              <w:rPr>
                <w:rFonts w:hint="default" w:eastAsiaTheme="minorEastAsia"/>
                <w:color w:val="auto"/>
                <w:highlight w:val="none"/>
              </w:rPr>
              <w:t>控单元</w:t>
            </w:r>
          </w:p>
        </w:tc>
        <w:tc>
          <w:tcPr>
            <w:tcW w:w="125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143"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原则上避免大规模排放大气污染物的项目布局建设。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7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33"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143" w:type="dxa"/>
            <w:shd w:val="clear" w:color="auto" w:fill="auto"/>
            <w:vAlign w:val="center"/>
          </w:tcPr>
          <w:p>
            <w:pPr>
              <w:pStyle w:val="27"/>
              <w:keepNext w:val="0"/>
              <w:keepLines w:val="0"/>
              <w:numPr>
                <w:ilvl w:val="0"/>
                <w:numId w:val="0"/>
              </w:numPr>
              <w:suppressLineNumbers w:val="0"/>
              <w:adjustRightInd w:val="0"/>
              <w:snapToGrid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cs="Times New Roman" w:eastAsiaTheme="minorEastAsia"/>
                <w:strike w:val="0"/>
                <w:dstrike w:val="0"/>
                <w:color w:val="auto"/>
                <w:highlight w:val="none"/>
                <w:lang w:val="en-US" w:eastAsia="zh-CN"/>
              </w:rPr>
              <w:t>全面开展“散乱污”企业及集群综合整治行动。加大区域内大气污染治理力度，优化大气污染物排放项目布局，引导新建、扩建排放大气污染工业项目采用清洁生产工艺、先进的污染防治工艺。强化不利气象条件下秸秆焚烧控制，空气污染预警情况下严格执行秸秆禁烧管控。加强VOCs排放企业源头控制。</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jc w:val="center"/>
        </w:trPr>
        <w:tc>
          <w:tcPr>
            <w:tcW w:w="147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33"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143"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土壤污染重点监管单位应当严格控制有毒有害物质排放，并按年度向所在地设区的市人民政府生态环境主管部门报告排放情况；建立土壤污染隐患排查制度，保证持续有效防止有毒有害物质渗漏、流失、扬散。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6" w:hRule="atLeast"/>
          <w:jc w:val="center"/>
        </w:trPr>
        <w:tc>
          <w:tcPr>
            <w:tcW w:w="1476"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ZH45020620005</w:t>
            </w:r>
          </w:p>
        </w:tc>
        <w:tc>
          <w:tcPr>
            <w:tcW w:w="1933"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rPr>
            </w:pPr>
            <w:r>
              <w:rPr>
                <w:rFonts w:hint="default" w:eastAsiaTheme="minorEastAsia"/>
                <w:color w:val="auto"/>
                <w:highlight w:val="none"/>
              </w:rPr>
              <w:t>柳江区其他重点管控单元</w:t>
            </w:r>
            <w:r>
              <w:rPr>
                <w:highlight w:val="none"/>
              </w:rPr>
              <w:commentReference w:id="8"/>
            </w:r>
          </w:p>
        </w:tc>
        <w:tc>
          <w:tcPr>
            <w:tcW w:w="125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143"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规划产业园区应当依法依规进行审批。新建企业原则上均应建在产业园区。</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居住用地周边严控布局潜在污染扰民和环</w:t>
            </w:r>
            <w:r>
              <w:rPr>
                <w:rFonts w:hint="default" w:ascii="Times New Roman" w:hAnsi="Times New Roman" w:cs="Times New Roman" w:eastAsiaTheme="minorEastAsia"/>
                <w:b w:val="0"/>
                <w:bCs w:val="0"/>
                <w:strike w:val="0"/>
                <w:dstrike w:val="0"/>
                <w:color w:val="auto"/>
                <w:highlight w:val="none"/>
              </w:rPr>
              <w:t>境风险突出的建设项目。禁止在居民区和学校、医院、疗养院、养老院等单位周边新建、改建、扩建可能造成土壤污染的建设项目。禁止在人口聚居区域内新（改、扩）建涉重金属企业</w:t>
            </w:r>
            <w:r>
              <w:rPr>
                <w:rFonts w:hint="default" w:ascii="Times New Roman" w:hAnsi="Times New Roman" w:cs="Times New Roman" w:eastAsiaTheme="minorEastAsia"/>
                <w:strike w:val="0"/>
                <w:dstrike w:val="0"/>
                <w:color w:val="auto"/>
                <w:highlight w:val="none"/>
              </w:rPr>
              <w:t>。</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临近生态保护红线的工业企业，应采取有效措施，避免产生不利影响。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7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33"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143"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工业企业应当落实大气污染防治要求，采取有效措施，强化企业大气污染物排放精细化管理、无组织废气排放控制以及高效治污设施建设。</w:t>
            </w:r>
          </w:p>
          <w:p>
            <w:pPr>
              <w:pStyle w:val="27"/>
              <w:keepNext w:val="0"/>
              <w:keepLines w:val="0"/>
              <w:numPr>
                <w:ilvl w:val="0"/>
                <w:numId w:val="0"/>
              </w:numPr>
              <w:suppressLineNumbers w:val="0"/>
              <w:spacing w:before="0" w:beforeAutospacing="0" w:after="0" w:afterAutospacing="0"/>
              <w:ind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rPr>
              <w:t>规划产业园区建设应同步完善污水处理设施及管网建设；园区及园区企业主要污染物排放应控制在区域环境承载能力范围内，确保环境质量达标。</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147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933"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143"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开展环境风险评估，制定突发环境事件应急预案并备案，配备应急能力和物资，建设环境应急队伍，并定期演练。完善区域应急联动机制。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7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ZH45020630001</w:t>
            </w:r>
          </w:p>
        </w:tc>
        <w:tc>
          <w:tcPr>
            <w:tcW w:w="1933"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柳江区一般管控单元</w:t>
            </w:r>
          </w:p>
        </w:tc>
        <w:tc>
          <w:tcPr>
            <w:tcW w:w="125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一般管控单元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143"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永久基本农田一经划定，任何单位和个人不得擅自占用或改变用途。禁止任何单位和个人破坏永久基本农田耕作层。对永久基本农田实行严格保护，确保其面积不减少、土壤环境质量不下降，除法律规定的重点建设项目选址确实无法避让外，其他任何建设不得占用。</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在永久基本农田集中区域，不得新建可能造成土壤污染的建设项目；已经建成的，应当限期关闭拆除。</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禁止将重金属或者其他有毒有害物质含量超标的工业固体废物、生活垃圾或者污染土壤用于土地复垦。</w:t>
            </w:r>
          </w:p>
        </w:tc>
      </w:tr>
    </w:tbl>
    <w:p>
      <w:pPr>
        <w:widowControl/>
        <w:jc w:val="left"/>
        <w:rPr>
          <w:rFonts w:hint="default" w:ascii="Times New Roman" w:hAnsi="Times New Roman" w:cs="Times New Roman"/>
          <w:strike w:val="0"/>
          <w:dstrike w:val="0"/>
          <w:color w:val="auto"/>
          <w:highlight w:val="none"/>
        </w:rPr>
      </w:pPr>
      <w:r>
        <w:rPr>
          <w:rFonts w:hint="default" w:ascii="Times New Roman" w:hAnsi="Times New Roman" w:cs="Times New Roman"/>
          <w:strike w:val="0"/>
          <w:dstrike w:val="0"/>
          <w:color w:val="auto"/>
          <w:highlight w:val="none"/>
        </w:rPr>
        <w:br w:type="page"/>
      </w:r>
    </w:p>
    <w:p>
      <w:pPr>
        <w:pStyle w:val="3"/>
        <w:rPr>
          <w:rFonts w:hint="default" w:ascii="Times New Roman" w:hAnsi="Times New Roman" w:cs="Times New Roman"/>
          <w:color w:val="auto"/>
          <w:highlight w:val="none"/>
        </w:rPr>
      </w:pPr>
      <w:bookmarkStart w:id="53" w:name="_Toc22672"/>
      <w:bookmarkStart w:id="54" w:name="_Toc1136"/>
      <w:bookmarkStart w:id="55" w:name="_Toc15827"/>
      <w:bookmarkStart w:id="56" w:name="_Toc5992"/>
      <w:bookmarkStart w:id="57" w:name="_Toc11700"/>
      <w:bookmarkStart w:id="58" w:name="_Toc235"/>
      <w:bookmarkStart w:id="59" w:name="_Toc15006"/>
      <w:bookmarkStart w:id="60" w:name="_Toc6909"/>
      <w:bookmarkStart w:id="61" w:name="_Toc15233"/>
      <w:bookmarkStart w:id="62" w:name="_Toc20652"/>
      <w:bookmarkStart w:id="63" w:name="_Toc27601844"/>
      <w:r>
        <w:rPr>
          <w:rFonts w:hint="default" w:ascii="Times New Roman" w:hAnsi="Times New Roman" w:cs="Times New Roman"/>
          <w:color w:val="auto"/>
          <w:highlight w:val="none"/>
          <w:lang w:val="en-US" w:eastAsia="zh-CN"/>
        </w:rPr>
        <w:t xml:space="preserve">6 </w:t>
      </w:r>
      <w:r>
        <w:rPr>
          <w:rFonts w:hint="default" w:ascii="Times New Roman" w:hAnsi="Times New Roman" w:cs="Times New Roman"/>
          <w:color w:val="auto"/>
          <w:highlight w:val="none"/>
        </w:rPr>
        <w:t>柳城县</w:t>
      </w:r>
      <w:bookmarkEnd w:id="53"/>
      <w:bookmarkEnd w:id="54"/>
      <w:bookmarkEnd w:id="55"/>
      <w:bookmarkEnd w:id="56"/>
      <w:bookmarkEnd w:id="57"/>
      <w:bookmarkEnd w:id="58"/>
      <w:bookmarkEnd w:id="59"/>
      <w:bookmarkEnd w:id="60"/>
      <w:bookmarkEnd w:id="61"/>
      <w:bookmarkEnd w:id="62"/>
      <w:bookmarkEnd w:id="63"/>
    </w:p>
    <w:p>
      <w:pPr>
        <w:pStyle w:val="25"/>
        <w:rPr>
          <w:rFonts w:hint="default" w:ascii="Times New Roman" w:hAnsi="Times New Roman" w:cs="Times New Roman"/>
          <w:strike w:val="0"/>
          <w:dstrike w:val="0"/>
          <w:color w:val="auto"/>
          <w:highlight w:val="none"/>
        </w:rPr>
      </w:pPr>
      <w:r>
        <w:rPr>
          <w:rFonts w:hint="default" w:ascii="Times New Roman" w:hAnsi="Times New Roman" w:cs="Times New Roman"/>
          <w:strike w:val="0"/>
          <w:dstrike w:val="0"/>
          <w:color w:val="auto"/>
          <w:highlight w:val="none"/>
        </w:rPr>
        <w:t>表</w:t>
      </w:r>
      <w:r>
        <w:rPr>
          <w:rFonts w:hint="default" w:cs="Times New Roman"/>
          <w:strike w:val="0"/>
          <w:dstrike w:val="0"/>
          <w:color w:val="auto"/>
          <w:highlight w:val="none"/>
          <w:lang w:val="en-US" w:eastAsia="zh-CN"/>
        </w:rPr>
        <w:t>6</w:t>
      </w:r>
      <w:r>
        <w:rPr>
          <w:rFonts w:hint="default" w:ascii="Times New Roman" w:hAnsi="Times New Roman" w:cs="Times New Roman"/>
          <w:strike w:val="0"/>
          <w:dstrike w:val="0"/>
          <w:color w:val="auto"/>
          <w:highlight w:val="none"/>
          <w:lang w:val="en-US" w:eastAsia="zh-CN"/>
        </w:rPr>
        <w:t>-1</w:t>
      </w:r>
      <w:r>
        <w:rPr>
          <w:rFonts w:hint="default" w:ascii="Times New Roman" w:hAnsi="Times New Roman" w:cs="Times New Roman"/>
          <w:strike w:val="0"/>
          <w:dstrike w:val="0"/>
          <w:color w:val="auto"/>
          <w:highlight w:val="none"/>
        </w:rPr>
        <w:t xml:space="preserve">  柳州市柳城县</w:t>
      </w:r>
      <w:r>
        <w:rPr>
          <w:rFonts w:hint="default" w:ascii="Times New Roman" w:hAnsi="Times New Roman" w:cs="Times New Roman"/>
          <w:strike w:val="0"/>
          <w:dstrike w:val="0"/>
          <w:color w:val="auto"/>
          <w:highlight w:val="none"/>
          <w:lang w:val="en-US" w:eastAsia="zh-CN"/>
        </w:rPr>
        <w:t>生态环境准入及管控要求</w:t>
      </w:r>
    </w:p>
    <w:tbl>
      <w:tblPr>
        <w:tblStyle w:val="15"/>
        <w:tblW w:w="13935" w:type="dxa"/>
        <w:jc w:val="center"/>
        <w:tblInd w:w="-1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2000"/>
        <w:gridCol w:w="1160"/>
        <w:gridCol w:w="1213"/>
        <w:gridCol w:w="8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blHeader/>
          <w:jc w:val="center"/>
        </w:trPr>
        <w:tc>
          <w:tcPr>
            <w:tcW w:w="1321"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环境管控单元编码</w:t>
            </w:r>
          </w:p>
        </w:tc>
        <w:tc>
          <w:tcPr>
            <w:tcW w:w="2000"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环境管控单元名称</w:t>
            </w:r>
          </w:p>
        </w:tc>
        <w:tc>
          <w:tcPr>
            <w:tcW w:w="1160" w:type="dxa"/>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环境管控单元类别</w:t>
            </w:r>
          </w:p>
        </w:tc>
        <w:tc>
          <w:tcPr>
            <w:tcW w:w="9454" w:type="dxa"/>
            <w:gridSpan w:val="2"/>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b/>
                <w:bCs/>
                <w:color w:val="auto"/>
                <w:highlight w:val="none"/>
                <w:lang w:val="en-US" w:eastAsia="zh-CN"/>
              </w:rPr>
              <w:t>生态环境准入及管控要求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6" w:hRule="atLeast"/>
          <w:jc w:val="center"/>
        </w:trPr>
        <w:tc>
          <w:tcPr>
            <w:tcW w:w="1321"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ZH45022210001</w:t>
            </w:r>
          </w:p>
        </w:tc>
        <w:tc>
          <w:tcPr>
            <w:tcW w:w="200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b w:val="0"/>
                <w:bCs w:val="0"/>
                <w:color w:val="auto"/>
                <w:kern w:val="0"/>
                <w:sz w:val="21"/>
                <w:szCs w:val="21"/>
                <w:highlight w:val="none"/>
                <w:lang w:val="en-US" w:eastAsia="zh-CN"/>
              </w:rPr>
              <w:t>柳江-黔江流域水源涵养生态保护红线</w:t>
            </w:r>
          </w:p>
        </w:tc>
        <w:tc>
          <w:tcPr>
            <w:tcW w:w="116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1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41" w:type="dxa"/>
            <w:shd w:val="clear" w:color="auto" w:fill="auto"/>
            <w:vAlign w:val="center"/>
          </w:tcPr>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在符合现行法律法规前提下，除国家重大战略项目外，仅允许对生态功能不造成破坏的有限人为活动。</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饮用水水源保护区以及生态公益林、天然林还需执行国家、自治区以及市县相应法律法规要求。</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8" w:hRule="atLeast"/>
          <w:jc w:val="center"/>
        </w:trPr>
        <w:tc>
          <w:tcPr>
            <w:tcW w:w="1321"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ZH45022210002</w:t>
            </w:r>
          </w:p>
        </w:tc>
        <w:tc>
          <w:tcPr>
            <w:tcW w:w="200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融安-鹿寨-永福岩溶山地水土保持生态保护红线</w:t>
            </w:r>
          </w:p>
        </w:tc>
        <w:tc>
          <w:tcPr>
            <w:tcW w:w="1160"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13"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41" w:type="dxa"/>
            <w:shd w:val="clear" w:color="auto" w:fill="auto"/>
            <w:vAlign w:val="center"/>
          </w:tcPr>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在符合现行法律法规前提下，除国家重大战略项目外，仅允许对生态功能不造成破坏的有限人为活动。</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生态公益林、天然林还需执行国家、自治区以及市县相应法律法规要求。</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 w:hRule="atLeast"/>
          <w:jc w:val="center"/>
        </w:trPr>
        <w:tc>
          <w:tcPr>
            <w:tcW w:w="1321"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ZH45022210003</w:t>
            </w:r>
          </w:p>
        </w:tc>
        <w:tc>
          <w:tcPr>
            <w:tcW w:w="200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柳城县县城</w:t>
            </w:r>
            <w:r>
              <w:rPr>
                <w:rFonts w:hint="default" w:eastAsiaTheme="minorEastAsia"/>
                <w:color w:val="auto"/>
                <w:highlight w:val="none"/>
                <w:lang w:eastAsia="zh-CN"/>
              </w:rPr>
              <w:t>水源保护区</w:t>
            </w:r>
            <w:r>
              <w:rPr>
                <w:rFonts w:hint="default" w:eastAsiaTheme="minorEastAsia"/>
                <w:color w:val="auto"/>
                <w:highlight w:val="none"/>
              </w:rPr>
              <w:t>一般生态空间</w:t>
            </w:r>
          </w:p>
        </w:tc>
        <w:tc>
          <w:tcPr>
            <w:tcW w:w="116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1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41"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按照《饮用水水源保护区污染防治管理规定》《中华人民共和国水污染防治法》《广西壮族自治区饮用水水源保护条例》《广西壮族自治区水污染防治条例》等相关法律法规进行管理。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7" w:hRule="atLeast"/>
          <w:jc w:val="center"/>
        </w:trPr>
        <w:tc>
          <w:tcPr>
            <w:tcW w:w="1321"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ZH45022210004</w:t>
            </w:r>
          </w:p>
        </w:tc>
        <w:tc>
          <w:tcPr>
            <w:tcW w:w="200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柳城县其他优先保护单元</w:t>
            </w:r>
          </w:p>
        </w:tc>
        <w:tc>
          <w:tcPr>
            <w:tcW w:w="116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1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41" w:type="dxa"/>
            <w:shd w:val="clear" w:color="auto" w:fill="auto"/>
            <w:vAlign w:val="top"/>
          </w:tcPr>
          <w:p>
            <w:pPr>
              <w:pStyle w:val="27"/>
              <w:ind w:firstLine="0" w:firstLineChars="0"/>
              <w:rPr>
                <w:rFonts w:hint="default" w:eastAsiaTheme="minorEastAsia"/>
                <w:color w:val="auto"/>
                <w:sz w:val="21"/>
                <w:szCs w:val="21"/>
                <w:highlight w:val="none"/>
              </w:rPr>
            </w:pPr>
            <w:r>
              <w:rPr>
                <w:rFonts w:hint="default" w:eastAsiaTheme="minorEastAsia"/>
                <w:color w:val="auto"/>
                <w:sz w:val="21"/>
                <w:szCs w:val="21"/>
                <w:highlight w:val="none"/>
              </w:rPr>
              <w:t>1</w:t>
            </w:r>
            <w:r>
              <w:rPr>
                <w:rFonts w:hint="default" w:cs="Times New Roman" w:eastAsiaTheme="minorEastAsia"/>
                <w:color w:val="auto"/>
                <w:sz w:val="21"/>
                <w:szCs w:val="21"/>
                <w:highlight w:val="none"/>
                <w:lang w:eastAsia="zh-CN"/>
              </w:rPr>
              <w:t>．除符合国土空间规划建设和布局要求，以及市级以上矿产资源总体规划、能源开发利用规划、线性工程规划外，原则上按限制开发区域的要求进行管理。</w:t>
            </w:r>
          </w:p>
          <w:p>
            <w:pPr>
              <w:pStyle w:val="27"/>
              <w:ind w:firstLine="0" w:firstLineChars="0"/>
              <w:rPr>
                <w:rFonts w:hint="default" w:eastAsiaTheme="minorEastAsia"/>
                <w:color w:val="auto"/>
                <w:sz w:val="21"/>
                <w:szCs w:val="21"/>
                <w:highlight w:val="none"/>
              </w:rPr>
            </w:pPr>
            <w:r>
              <w:rPr>
                <w:rFonts w:hint="default" w:eastAsiaTheme="minorEastAsia"/>
                <w:color w:val="auto"/>
                <w:sz w:val="21"/>
                <w:szCs w:val="21"/>
                <w:highlight w:val="none"/>
              </w:rPr>
              <w:t>2</w:t>
            </w:r>
            <w:r>
              <w:rPr>
                <w:rFonts w:hint="default" w:cs="Times New Roman" w:eastAsiaTheme="minorEastAsia"/>
                <w:color w:val="auto"/>
                <w:sz w:val="21"/>
                <w:szCs w:val="21"/>
                <w:highlight w:val="none"/>
                <w:lang w:eastAsia="zh-CN"/>
              </w:rPr>
              <w:t>．</w:t>
            </w:r>
            <w:r>
              <w:rPr>
                <w:rFonts w:hint="default" w:eastAsiaTheme="minorEastAsia"/>
                <w:color w:val="auto"/>
                <w:sz w:val="21"/>
                <w:szCs w:val="21"/>
                <w:highlight w:val="none"/>
              </w:rPr>
              <w:t>矿产资源开发活动、新能源建设项目以及线性工程项目等要符合法律法规以及主体功能区规划、生态功能区划、环境保护总体规划、行业规划等规划要求，不得破坏生态、降低环境质量。要优化项目选址布局，严格控制开采量和开采区域，减少对生态空间的占用，不影响区域主导生态功能。要采取更加严格和有效的预防和保护措施，避免和减轻开发活动造成的生态破坏和环境污染。要严格落实项目环评的跟踪监测计划，项目开采（开工）、闭矿、跟踪监测要及时向所在地生态环境部门进行报备。加强矿山开采项目及其闭矿的环保督察，开展矿山区域生态环境质量飞行抽检。乡村振兴项目建设的审批简化和豁免要符合有关规定，不得影响区域主导生态功能、降低区域生态环境质量。</w:t>
            </w:r>
          </w:p>
          <w:p>
            <w:pPr>
              <w:pStyle w:val="27"/>
              <w:ind w:firstLine="0" w:firstLineChars="0"/>
              <w:rPr>
                <w:rFonts w:hint="default" w:eastAsiaTheme="minorEastAsia"/>
                <w:color w:val="auto"/>
                <w:sz w:val="21"/>
                <w:szCs w:val="21"/>
                <w:highlight w:val="none"/>
              </w:rPr>
            </w:pPr>
            <w:r>
              <w:rPr>
                <w:rFonts w:hint="default" w:eastAsiaTheme="minorEastAsia"/>
                <w:color w:val="auto"/>
                <w:sz w:val="21"/>
                <w:szCs w:val="21"/>
                <w:highlight w:val="none"/>
                <w:lang w:val="en-US" w:eastAsia="zh-CN"/>
              </w:rPr>
              <w:t>3</w:t>
            </w:r>
            <w:r>
              <w:rPr>
                <w:rFonts w:hint="default" w:cs="Times New Roman" w:eastAsiaTheme="minorEastAsia"/>
                <w:color w:val="auto"/>
                <w:sz w:val="21"/>
                <w:szCs w:val="21"/>
                <w:highlight w:val="none"/>
                <w:lang w:val="en-US" w:eastAsia="zh-CN"/>
              </w:rPr>
              <w:t>．</w:t>
            </w:r>
            <w:r>
              <w:rPr>
                <w:rFonts w:hint="default" w:eastAsiaTheme="minorEastAsia"/>
                <w:color w:val="auto"/>
                <w:sz w:val="21"/>
                <w:szCs w:val="21"/>
                <w:highlight w:val="none"/>
              </w:rPr>
              <w:t>（极）重度石漠化区</w:t>
            </w:r>
            <w:r>
              <w:rPr>
                <w:rFonts w:hint="default" w:eastAsiaTheme="minorEastAsia"/>
                <w:color w:val="auto"/>
                <w:sz w:val="21"/>
                <w:szCs w:val="21"/>
                <w:highlight w:val="none"/>
                <w:lang w:eastAsia="zh-CN"/>
              </w:rPr>
              <w:t>内</w:t>
            </w:r>
            <w:r>
              <w:rPr>
                <w:rFonts w:hint="default" w:eastAsiaTheme="minorEastAsia"/>
                <w:color w:val="auto"/>
                <w:sz w:val="21"/>
                <w:szCs w:val="21"/>
                <w:highlight w:val="none"/>
              </w:rPr>
              <w:t>严禁陡坡垦殖、过度放牧、乱砍滥伐树木等损害水土保持功能的活动。禁止在崩塌、滑坡危险区和泥石流易发区从事取土、挖砂、采石等可能造成水土流失的活动。控制人为造成新增水土流失的资源开发和建设项目等损害水土保持功能的活动。加强石漠化综合治理，通过保护天然林、封山育林、退耕还林、小流域治理、农村生态能源建设、改变耕作方式、草食动物舍饲圈养、生态扶贫和生态移民等措施，恢复自然植被，提高水源涵养和水土保持能力。</w:t>
            </w:r>
          </w:p>
          <w:p>
            <w:pPr>
              <w:pStyle w:val="27"/>
              <w:ind w:firstLine="0" w:firstLineChars="0"/>
              <w:rPr>
                <w:rFonts w:hint="default" w:eastAsiaTheme="minorEastAsia"/>
                <w:color w:val="auto"/>
                <w:sz w:val="21"/>
                <w:szCs w:val="21"/>
                <w:highlight w:val="none"/>
              </w:rPr>
            </w:pPr>
            <w:r>
              <w:rPr>
                <w:rFonts w:hint="default" w:eastAsiaTheme="minorEastAsia"/>
                <w:color w:val="auto"/>
                <w:sz w:val="21"/>
                <w:szCs w:val="21"/>
                <w:highlight w:val="none"/>
                <w:lang w:val="en-US" w:eastAsia="zh-CN"/>
              </w:rPr>
              <w:t>4</w:t>
            </w:r>
            <w:r>
              <w:rPr>
                <w:rFonts w:hint="default" w:cs="Times New Roman" w:eastAsiaTheme="minorEastAsia"/>
                <w:color w:val="auto"/>
                <w:sz w:val="21"/>
                <w:szCs w:val="21"/>
                <w:highlight w:val="none"/>
                <w:lang w:val="en-US" w:eastAsia="zh-CN"/>
              </w:rPr>
              <w:t>．</w:t>
            </w:r>
            <w:r>
              <w:rPr>
                <w:rFonts w:hint="default" w:eastAsiaTheme="minorEastAsia"/>
                <w:color w:val="auto"/>
                <w:sz w:val="21"/>
                <w:szCs w:val="21"/>
                <w:highlight w:val="none"/>
              </w:rPr>
              <w:t>生物多样性维护功能极重要区</w:t>
            </w:r>
            <w:r>
              <w:rPr>
                <w:rFonts w:hint="default" w:eastAsiaTheme="minorEastAsia"/>
                <w:color w:val="auto"/>
                <w:sz w:val="21"/>
                <w:szCs w:val="21"/>
                <w:highlight w:val="none"/>
                <w:lang w:eastAsia="zh-CN"/>
              </w:rPr>
              <w:t>内</w:t>
            </w:r>
            <w:r>
              <w:rPr>
                <w:rFonts w:hint="default" w:eastAsiaTheme="minorEastAsia"/>
                <w:color w:val="auto"/>
                <w:sz w:val="21"/>
                <w:szCs w:val="21"/>
                <w:highlight w:val="none"/>
              </w:rPr>
              <w:t>禁止滥捕、乱采、乱猎野生动植物。保护自然生态系统与重要物种栖息地，禁止无序采矿、毁林开荒、湿地和草地开垦等各种损害栖息地的经济社会活动和生产方式。防止生态建设导致栖息环境的改变。加强对外来物种入侵的控制，禁止在生物多样性保护功能区引进外来物种。加强生物多样性资源调查与监测，保护和修复自然生态系统和重要物种栖息地，实施生物多样性保护工程。</w:t>
            </w:r>
          </w:p>
          <w:p>
            <w:pPr>
              <w:pStyle w:val="27"/>
              <w:ind w:firstLine="0" w:firstLineChars="0"/>
              <w:rPr>
                <w:rFonts w:hint="default" w:eastAsiaTheme="minorEastAsia"/>
                <w:color w:val="auto"/>
                <w:sz w:val="21"/>
                <w:szCs w:val="21"/>
                <w:highlight w:val="none"/>
              </w:rPr>
            </w:pPr>
            <w:r>
              <w:rPr>
                <w:rFonts w:hint="default" w:eastAsiaTheme="minorEastAsia"/>
                <w:color w:val="auto"/>
                <w:sz w:val="21"/>
                <w:szCs w:val="21"/>
                <w:highlight w:val="none"/>
                <w:lang w:val="en-US" w:eastAsia="zh-CN"/>
              </w:rPr>
              <w:t>5</w:t>
            </w:r>
            <w:r>
              <w:rPr>
                <w:rFonts w:hint="default" w:cs="Times New Roman" w:eastAsiaTheme="minorEastAsia"/>
                <w:color w:val="auto"/>
                <w:sz w:val="21"/>
                <w:szCs w:val="21"/>
                <w:highlight w:val="none"/>
                <w:lang w:val="en-US" w:eastAsia="zh-CN"/>
              </w:rPr>
              <w:t>．</w:t>
            </w:r>
            <w:r>
              <w:rPr>
                <w:rFonts w:hint="eastAsia" w:eastAsiaTheme="minorEastAsia"/>
                <w:color w:val="auto"/>
                <w:sz w:val="21"/>
                <w:szCs w:val="21"/>
                <w:highlight w:val="none"/>
                <w:lang w:eastAsia="zh-CN"/>
              </w:rPr>
              <w:t>水源涵养功能（极）重要区</w:t>
            </w:r>
            <w:r>
              <w:rPr>
                <w:rFonts w:hint="default" w:eastAsiaTheme="minorEastAsia"/>
                <w:color w:val="auto"/>
                <w:sz w:val="21"/>
                <w:szCs w:val="21"/>
                <w:highlight w:val="none"/>
                <w:lang w:eastAsia="zh-CN"/>
              </w:rPr>
              <w:t>内</w:t>
            </w:r>
            <w:r>
              <w:rPr>
                <w:rFonts w:hint="default" w:eastAsiaTheme="minorEastAsia"/>
                <w:color w:val="auto"/>
                <w:sz w:val="21"/>
                <w:szCs w:val="21"/>
                <w:highlight w:val="none"/>
              </w:rPr>
              <w:t>严格保护具有水源涵养功能的自然植被，禁止过度放牧、无序采矿、毁林开荒，限制或禁止湿地和草地开垦等损害生态系统水源涵养功能的活动。加强生态公益林改造和建设，通过封育恢复自然植被，促使其逐步向常绿阔叶林演化，提高水源涵养的功能；林产业向合理利用与保护建设相结合的生态型林业方向发展，保持森林生长与采伐利用的动态平衡，兼顾生态效益和经济效益，逐步恢复和改善地力；加强水土保持。</w:t>
            </w:r>
          </w:p>
          <w:p>
            <w:pPr>
              <w:pStyle w:val="27"/>
              <w:ind w:firstLine="0" w:firstLineChars="0"/>
              <w:rPr>
                <w:rFonts w:hint="default" w:eastAsiaTheme="minorEastAsia"/>
                <w:color w:val="auto"/>
                <w:highlight w:val="none"/>
              </w:rPr>
            </w:pPr>
            <w:r>
              <w:rPr>
                <w:rFonts w:hint="default" w:eastAsiaTheme="minorEastAsia"/>
                <w:color w:val="auto"/>
                <w:sz w:val="21"/>
                <w:szCs w:val="21"/>
                <w:highlight w:val="none"/>
                <w:lang w:val="en-US" w:eastAsia="zh-CN"/>
              </w:rPr>
              <w:t>6</w:t>
            </w:r>
            <w:r>
              <w:rPr>
                <w:rFonts w:hint="default" w:cs="Times New Roman" w:eastAsiaTheme="minorEastAsia"/>
                <w:color w:val="auto"/>
                <w:sz w:val="21"/>
                <w:szCs w:val="21"/>
                <w:highlight w:val="none"/>
                <w:lang w:val="en-US" w:eastAsia="zh-CN"/>
              </w:rPr>
              <w:t>．</w:t>
            </w:r>
            <w:r>
              <w:rPr>
                <w:rFonts w:hint="default" w:eastAsiaTheme="minorEastAsia"/>
                <w:color w:val="auto"/>
                <w:sz w:val="21"/>
                <w:szCs w:val="21"/>
                <w:highlight w:val="none"/>
              </w:rPr>
              <w:t>依据《国家级公益林管理办法》（林资发〔2017〕34号）进行管理，严格控制勘查、开采矿藏和工程建设使用国家级公益林地。确需使用的，严格按照《建设项目使用林地</w:t>
            </w:r>
            <w:r>
              <w:rPr>
                <w:rFonts w:hint="default" w:eastAsiaTheme="minorEastAsia"/>
                <w:color w:val="auto"/>
                <w:highlight w:val="none"/>
              </w:rPr>
              <w:t>审核审批管理办法》有关规定办理使用林地手续。涉及林木采伐的，按相关规定依法办理林木采伐手续。经审核审批同意使用的国家级公益林地，可按规定实行占补平衡。一级国家级公益林原则上不得开展生产经营活动，严禁打枝、采脂、割漆、剥树皮、掘根等行为。二级国家级公益林在不影响整体森林生态系统功能发挥的前提下，可以按照相关技术规程的规定开展抚育和更新性质的采伐。在不破坏森林植被的前提下，可以合理利用其林地资源，适度开展林下种植养殖和森林游憩等非木质资源开发与利用，科学发展林下经济。</w:t>
            </w:r>
          </w:p>
          <w:p>
            <w:pPr>
              <w:pStyle w:val="27"/>
              <w:rPr>
                <w:rFonts w:hint="default" w:eastAsiaTheme="minorEastAsia"/>
                <w:color w:val="auto"/>
                <w:highlight w:val="none"/>
                <w:lang w:val="en-US" w:eastAsia="zh-CN"/>
              </w:rPr>
            </w:pPr>
            <w:r>
              <w:rPr>
                <w:rFonts w:hint="default" w:eastAsiaTheme="minorEastAsia"/>
                <w:color w:val="auto"/>
                <w:highlight w:val="none"/>
                <w:lang w:val="en-US" w:eastAsia="zh-CN"/>
              </w:rPr>
              <w:t>7</w:t>
            </w:r>
            <w:r>
              <w:rPr>
                <w:rFonts w:hint="default" w:cs="Times New Roman" w:eastAsiaTheme="minorEastAsia"/>
                <w:color w:val="auto"/>
                <w:highlight w:val="none"/>
                <w:lang w:val="en-US" w:eastAsia="zh-CN"/>
              </w:rPr>
              <w:t>．</w:t>
            </w:r>
            <w:r>
              <w:rPr>
                <w:rFonts w:hint="default" w:eastAsiaTheme="minorEastAsia"/>
                <w:color w:val="auto"/>
                <w:highlight w:val="none"/>
              </w:rPr>
              <w:t>对所有</w:t>
            </w:r>
            <w:r>
              <w:rPr>
                <w:rFonts w:hint="eastAsia" w:eastAsiaTheme="minorEastAsia"/>
                <w:color w:val="auto"/>
                <w:highlight w:val="none"/>
                <w:lang w:eastAsia="zh-CN"/>
              </w:rPr>
              <w:t>天然林</w:t>
            </w:r>
            <w:r>
              <w:rPr>
                <w:rFonts w:hint="default" w:eastAsiaTheme="minorEastAsia"/>
                <w:color w:val="auto"/>
                <w:highlight w:val="none"/>
              </w:rPr>
              <w:t>实行保护，禁止毁林开垦、将天然林改造为人工林以及其他破坏天然林及其生态环境的行为。对纳入保护重点区域的天然林，除森林病虫害防治、森林防火等维护天然林生态系统健康的必要措施外，禁止其他一切生产经营活动。开展天然林抚育作业的，必须编制作业设计，经林业主管部门审查批准后实施。严格控制天然林地转为其他用途，除国防建设、国家重大工程项目建设特色需要外，禁止占用保护重点区域的天然林地。在不破坏地表植被、不影响生物多样性保护前提下，可在天然林地适度发展生态旅游、休闲康养、特色种植养殖产业。</w:t>
            </w:r>
          </w:p>
          <w:p>
            <w:pPr>
              <w:pStyle w:val="27"/>
              <w:keepNext w:val="0"/>
              <w:keepLines w:val="0"/>
              <w:suppressLineNumbers w:val="0"/>
              <w:adjustRightInd w:val="0"/>
              <w:snapToGrid w:val="0"/>
              <w:spacing w:before="0" w:beforeAutospacing="0" w:after="0" w:afterAutospacing="0"/>
              <w:ind w:left="0" w:right="0"/>
              <w:rPr>
                <w:rFonts w:hint="default" w:eastAsiaTheme="minorEastAsia"/>
                <w:color w:val="auto"/>
                <w:highlight w:val="none"/>
                <w:lang w:val="en-US" w:eastAsia="zh-CN"/>
              </w:rPr>
            </w:pPr>
            <w:r>
              <w:rPr>
                <w:rFonts w:hint="default" w:eastAsiaTheme="minorEastAsia"/>
                <w:color w:val="auto"/>
                <w:highlight w:val="none"/>
                <w:lang w:val="en-US" w:eastAsia="zh-CN"/>
              </w:rPr>
              <w:t>8</w:t>
            </w:r>
            <w:r>
              <w:rPr>
                <w:rFonts w:hint="default" w:cs="Times New Roman" w:eastAsiaTheme="minorEastAsia"/>
                <w:color w:val="auto"/>
                <w:highlight w:val="none"/>
                <w:lang w:val="en-US" w:eastAsia="zh-CN"/>
              </w:rPr>
              <w:t>．</w:t>
            </w:r>
            <w:r>
              <w:rPr>
                <w:rFonts w:hint="default" w:eastAsiaTheme="minorEastAsia"/>
                <w:color w:val="auto"/>
                <w:highlight w:val="none"/>
                <w:lang w:val="en-US" w:eastAsia="zh-CN"/>
              </w:rPr>
              <w:t>严格执行《中华人民共和国渔业法》《水产种质资源保护区管理暂行办法》，禁止在水产种质资源保护区内新建排污口，在水产种质资源保护区附近新建、改建、扩建排污</w:t>
            </w:r>
            <w:r>
              <w:rPr>
                <w:rFonts w:hint="eastAsia" w:eastAsiaTheme="minorEastAsia"/>
                <w:color w:val="auto"/>
                <w:highlight w:val="none"/>
                <w:lang w:val="en-US" w:eastAsia="zh-CN"/>
              </w:rPr>
              <w:t>口</w:t>
            </w:r>
            <w:r>
              <w:rPr>
                <w:rFonts w:hint="default" w:eastAsiaTheme="minorEastAsia"/>
                <w:color w:val="auto"/>
                <w:highlight w:val="none"/>
                <w:lang w:val="en-US" w:eastAsia="zh-CN"/>
              </w:rPr>
              <w:t>，应当保证保护区水体不受污染。</w:t>
            </w:r>
          </w:p>
          <w:p>
            <w:pPr>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color w:val="auto"/>
                <w:szCs w:val="21"/>
                <w:highlight w:val="none"/>
                <w:lang w:val="en-US" w:eastAsia="zh-CN"/>
              </w:rPr>
              <w:t>9．</w:t>
            </w:r>
            <w:r>
              <w:rPr>
                <w:rFonts w:hint="default" w:ascii="Times New Roman" w:hAnsi="Times New Roman" w:cs="Times New Roman"/>
                <w:color w:val="auto"/>
                <w:highlight w:val="none"/>
              </w:rPr>
              <w:t>2025年</w:t>
            </w:r>
            <w:r>
              <w:rPr>
                <w:rFonts w:hint="default" w:ascii="Times New Roman" w:hAnsi="Times New Roman" w:cs="Times New Roman"/>
                <w:color w:val="auto"/>
                <w:szCs w:val="21"/>
                <w:highlight w:val="none"/>
                <w:lang w:eastAsia="zh-CN"/>
              </w:rPr>
              <w:t>，</w:t>
            </w:r>
            <w:r>
              <w:rPr>
                <w:rFonts w:hint="default" w:ascii="Times New Roman" w:hAnsi="Times New Roman" w:cs="Times New Roman" w:eastAsiaTheme="minorEastAsia"/>
                <w:color w:val="auto"/>
                <w:highlight w:val="none"/>
              </w:rPr>
              <w:t>露塘</w:t>
            </w:r>
            <w:r>
              <w:rPr>
                <w:rFonts w:hint="default" w:ascii="Times New Roman" w:hAnsi="Times New Roman" w:cs="Times New Roman"/>
                <w:color w:val="auto"/>
                <w:highlight w:val="none"/>
              </w:rPr>
              <w:t>国考断面</w:t>
            </w:r>
            <w:r>
              <w:rPr>
                <w:rFonts w:hint="default" w:ascii="Times New Roman" w:hAnsi="Times New Roman" w:cs="Times New Roman"/>
                <w:color w:val="auto"/>
                <w:szCs w:val="21"/>
                <w:highlight w:val="none"/>
                <w:lang w:eastAsia="zh-CN"/>
              </w:rPr>
              <w:t>和</w:t>
            </w:r>
            <w:r>
              <w:rPr>
                <w:rFonts w:hint="default" w:ascii="Times New Roman" w:hAnsi="Times New Roman" w:cs="Times New Roman" w:eastAsiaTheme="minorEastAsia"/>
                <w:color w:val="auto"/>
                <w:highlight w:val="none"/>
              </w:rPr>
              <w:t>凤山糖厂</w:t>
            </w:r>
            <w:r>
              <w:rPr>
                <w:rFonts w:ascii="Times New Roman" w:hAnsi="Times New Roman" w:cs="Times New Roman" w:eastAsiaTheme="minorEastAsia"/>
                <w:color w:val="auto"/>
                <w:sz w:val="21"/>
                <w:szCs w:val="21"/>
                <w:highlight w:val="none"/>
              </w:rPr>
              <w:t>国考断面</w:t>
            </w:r>
            <w:r>
              <w:rPr>
                <w:rFonts w:hint="default" w:ascii="Times New Roman" w:hAnsi="Times New Roman" w:cs="Times New Roman"/>
                <w:color w:val="auto"/>
                <w:highlight w:val="none"/>
              </w:rPr>
              <w:t>水质</w:t>
            </w:r>
            <w:r>
              <w:rPr>
                <w:rFonts w:hint="default" w:ascii="Times New Roman" w:hAnsi="Times New Roman" w:cs="Times New Roman"/>
                <w:color w:val="auto"/>
                <w:szCs w:val="21"/>
                <w:highlight w:val="none"/>
                <w:lang w:eastAsia="zh-CN"/>
              </w:rPr>
              <w:t>均</w:t>
            </w:r>
            <w:r>
              <w:rPr>
                <w:rFonts w:hint="eastAsia" w:ascii="Times New Roman" w:hAnsi="Times New Roman" w:cs="Times New Roman"/>
                <w:color w:val="auto"/>
                <w:sz w:val="21"/>
                <w:szCs w:val="21"/>
                <w:highlight w:val="none"/>
                <w:lang w:eastAsia="zh-CN"/>
              </w:rPr>
              <w:t>拟执行Ⅱ类标准，最终以国家下达为准</w:t>
            </w:r>
            <w:r>
              <w:rPr>
                <w:rFonts w:hint="default" w:ascii="Times New Roman" w:hAnsi="Times New Roman" w:cs="Times New Roman"/>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4" w:hRule="atLeast"/>
          <w:jc w:val="center"/>
        </w:trPr>
        <w:tc>
          <w:tcPr>
            <w:tcW w:w="1321"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ZH45022220001</w:t>
            </w:r>
          </w:p>
        </w:tc>
        <w:tc>
          <w:tcPr>
            <w:tcW w:w="200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commentRangeStart w:id="9"/>
            <w:r>
              <w:rPr>
                <w:rFonts w:hint="default" w:eastAsiaTheme="minorEastAsia"/>
                <w:color w:val="auto"/>
                <w:highlight w:val="none"/>
              </w:rPr>
              <w:t>柳城县工业区重点管控单元</w:t>
            </w:r>
            <w:commentRangeEnd w:id="9"/>
            <w:r>
              <w:rPr>
                <w:highlight w:val="none"/>
              </w:rPr>
              <w:commentReference w:id="9"/>
            </w:r>
          </w:p>
        </w:tc>
        <w:tc>
          <w:tcPr>
            <w:tcW w:w="1160"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1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41" w:type="dxa"/>
            <w:shd w:val="clear" w:color="auto" w:fill="auto"/>
            <w:vAlign w:val="center"/>
          </w:tcPr>
          <w:p>
            <w:pPr>
              <w:pStyle w:val="27"/>
              <w:spacing w:line="240" w:lineRule="auto"/>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1．</w:t>
            </w:r>
            <w:r>
              <w:rPr>
                <w:rFonts w:hint="default" w:ascii="Times New Roman" w:hAnsi="Times New Roman" w:eastAsia="宋体" w:cs="Times New Roman"/>
                <w:strike w:val="0"/>
                <w:dstrike w:val="0"/>
                <w:color w:val="auto"/>
                <w:sz w:val="21"/>
                <w:szCs w:val="21"/>
                <w:highlight w:val="none"/>
              </w:rPr>
              <w:t>入园项目必须符合国家、自治区产业政策、供地政策及园区产业定位。</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严禁在河西片区涉及柳城县饮用水水源准保护区的地块建设重污染项目。</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居住用地周边严控布局潜在污染扰民和环境风险突出的建设项目。</w:t>
            </w:r>
          </w:p>
          <w:p>
            <w:pPr>
              <w:pStyle w:val="27"/>
              <w:rPr>
                <w:rFonts w:hint="default" w:ascii="Times New Roman" w:hAnsi="Times New Roman" w:eastAsiaTheme="minorEastAsia"/>
                <w:color w:val="auto"/>
                <w:highlight w:val="none"/>
                <w:lang w:val="en-US" w:eastAsia="zh-CN"/>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新建大气</w:t>
            </w:r>
            <w:r>
              <w:rPr>
                <w:rFonts w:hint="default" w:ascii="Times New Roman" w:hAnsi="Times New Roman" w:eastAsiaTheme="minorEastAsia"/>
                <w:color w:val="auto"/>
                <w:highlight w:val="none"/>
                <w:lang w:val="en-US" w:eastAsia="zh-CN"/>
              </w:rPr>
              <w:t>污染物排放的工业项目，原则上应当进入工业园区或者工业集聚区；加快布局分散的企业向园区集中。</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eastAsiaTheme="minorEastAsia"/>
                <w:color w:val="auto"/>
                <w:highlight w:val="none"/>
                <w:lang w:val="en-US" w:eastAsia="zh-CN"/>
              </w:rPr>
              <w:t>5</w:t>
            </w:r>
            <w:r>
              <w:rPr>
                <w:rFonts w:hint="default" w:ascii="Times New Roman" w:hAnsi="Times New Roman" w:eastAsiaTheme="minorEastAsia"/>
                <w:color w:val="auto"/>
                <w:highlight w:val="none"/>
                <w:lang w:eastAsia="zh-CN"/>
              </w:rPr>
              <w:t>．</w:t>
            </w:r>
            <w:r>
              <w:rPr>
                <w:rFonts w:hint="default" w:eastAsiaTheme="minorEastAsia"/>
                <w:color w:val="auto"/>
                <w:highlight w:val="none"/>
                <w:lang w:val="en-US" w:eastAsia="zh-CN"/>
              </w:rPr>
              <w:t>产业园</w:t>
            </w:r>
            <w:r>
              <w:rPr>
                <w:rFonts w:hint="default" w:ascii="Times New Roman" w:hAnsi="Times New Roman" w:eastAsiaTheme="minorEastAsia"/>
                <w:color w:val="auto"/>
                <w:highlight w:val="none"/>
                <w:lang w:val="en-US" w:eastAsia="zh-CN"/>
              </w:rPr>
              <w:t>区管理机构应将规划环评结论及审查意见落实到规划中，负责统筹区域内生态环境基础设施</w:t>
            </w:r>
            <w:r>
              <w:rPr>
                <w:rFonts w:hint="default" w:ascii="Times New Roman" w:hAnsi="Times New Roman" w:cs="Times New Roman" w:eastAsiaTheme="minorEastAsia"/>
                <w:strike w:val="0"/>
                <w:dstrike w:val="0"/>
                <w:color w:val="auto"/>
                <w:highlight w:val="none"/>
                <w:lang w:val="en-US" w:eastAsia="zh-CN"/>
              </w:rPr>
              <w:t>建设，</w:t>
            </w:r>
            <w:r>
              <w:rPr>
                <w:rFonts w:hint="default" w:ascii="Times New Roman" w:hAnsi="Times New Roman" w:cs="Times New Roman" w:eastAsiaTheme="minorEastAsia"/>
                <w:color w:val="auto"/>
                <w:highlight w:val="none"/>
                <w:lang w:val="en-US" w:eastAsia="zh-CN"/>
              </w:rPr>
              <w:t>不得</w:t>
            </w:r>
            <w:r>
              <w:rPr>
                <w:rFonts w:hint="default" w:ascii="Times New Roman" w:hAnsi="Times New Roman" w:cs="Times New Roman" w:eastAsiaTheme="minorEastAsia"/>
                <w:strike w:val="0"/>
                <w:dstrike w:val="0"/>
                <w:color w:val="auto"/>
                <w:highlight w:val="none"/>
                <w:lang w:val="en-US" w:eastAsia="zh-CN"/>
              </w:rPr>
              <w:t>引入不符合规划环评结论及审查意见的项目入园。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2" w:hRule="atLeast"/>
          <w:jc w:val="center"/>
        </w:trPr>
        <w:tc>
          <w:tcPr>
            <w:tcW w:w="1321"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0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1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241" w:type="dxa"/>
            <w:shd w:val="clear" w:color="auto" w:fill="auto"/>
            <w:vAlign w:val="center"/>
          </w:tcPr>
          <w:p>
            <w:pPr>
              <w:pStyle w:val="27"/>
              <w:rPr>
                <w:rFonts w:hint="default" w:ascii="Times New Roman" w:hAnsi="Times New Roman" w:eastAsiaTheme="minorEastAsia"/>
                <w:color w:val="auto"/>
                <w:highlight w:val="none"/>
                <w:lang w:val="en-US" w:eastAsia="zh-CN"/>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eastAsiaTheme="minorEastAsia"/>
                <w:color w:val="auto"/>
                <w:highlight w:val="none"/>
                <w:lang w:val="en-US" w:eastAsia="zh-CN"/>
              </w:rPr>
              <w:t>深化园区工业污染治理，持续推进工业污染源全面达标排放，开展烟气高效脱硫脱硝、除尘改造。推进各类园区技术、工艺、设备等生态化、循环化改造，积极推广园区集中供热。强化园区堆场扬尘控制。推动重点行业VOCs的排放管控，加强VOCs排放企业源头控制。</w:t>
            </w:r>
          </w:p>
          <w:p>
            <w:pPr>
              <w:pStyle w:val="27"/>
              <w:rPr>
                <w:rFonts w:hint="default" w:ascii="Times New Roman" w:hAnsi="Times New Roman" w:eastAsiaTheme="minorEastAsia"/>
                <w:color w:val="auto"/>
                <w:highlight w:val="none"/>
                <w:lang w:val="en-US" w:eastAsia="zh-CN"/>
              </w:rPr>
            </w:pPr>
            <w:r>
              <w:rPr>
                <w:rFonts w:hint="default" w:ascii="Times New Roman" w:hAnsi="Times New Roman" w:eastAsiaTheme="minorEastAsia"/>
                <w:color w:val="auto"/>
                <w:highlight w:val="none"/>
                <w:lang w:val="en-US" w:eastAsia="zh-CN"/>
              </w:rPr>
              <w:t>2</w:t>
            </w:r>
            <w:r>
              <w:rPr>
                <w:rFonts w:hint="default" w:ascii="Times New Roman" w:hAnsi="Times New Roman" w:eastAsiaTheme="minorEastAsia"/>
                <w:color w:val="auto"/>
                <w:highlight w:val="none"/>
                <w:lang w:eastAsia="zh-CN"/>
              </w:rPr>
              <w:t>．</w:t>
            </w:r>
            <w:r>
              <w:rPr>
                <w:rFonts w:hint="default" w:ascii="Times New Roman" w:hAnsi="Times New Roman" w:eastAsiaTheme="minorEastAsia"/>
                <w:color w:val="auto"/>
                <w:highlight w:val="none"/>
                <w:lang w:val="en-US" w:eastAsia="zh-CN"/>
              </w:rPr>
              <w:t>逐步完成工业集聚区集中式污水处理设施建设，确保已建污水处理设施稳定运行及达标排放。园区集中式污水处理设施总排口安装自动监控系统、视频监控系统，并与生态环境主管部门联网。按照“清污分流、雨污分流”原则，实施废水分类收集、分质处理。</w:t>
            </w:r>
          </w:p>
          <w:p>
            <w:pPr>
              <w:pStyle w:val="27"/>
              <w:keepNext w:val="0"/>
              <w:keepLines w:val="0"/>
              <w:suppressLineNumbers w:val="0"/>
              <w:adjustRightInd w:val="0"/>
              <w:snapToGrid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eastAsiaTheme="minorEastAsia"/>
                <w:color w:val="auto"/>
                <w:highlight w:val="none"/>
                <w:lang w:val="en-US" w:eastAsia="zh-CN"/>
              </w:rPr>
              <w:t>3</w:t>
            </w:r>
            <w:r>
              <w:rPr>
                <w:rFonts w:hint="default" w:ascii="Times New Roman" w:hAnsi="Times New Roman" w:eastAsiaTheme="minorEastAsia"/>
                <w:color w:val="auto"/>
                <w:highlight w:val="none"/>
                <w:lang w:eastAsia="zh-CN"/>
              </w:rPr>
              <w:t>．</w:t>
            </w:r>
            <w:r>
              <w:rPr>
                <w:rFonts w:hint="default" w:eastAsiaTheme="minorEastAsia"/>
                <w:color w:val="auto"/>
                <w:highlight w:val="none"/>
              </w:rPr>
              <w:t>园区及园区企业排放水污染物，要满足国家或者地方规定的水污染物排放标准和重点水污染物排放总量控制指标。直接外排水环境的，执行国家或者地方规定的标准要求；经城镇污水集中处理设施处理后排放的，执行市政部门管理要求；经园区污水集中处理设施处理后排放的，执行园区管理部门相关要求</w:t>
            </w:r>
            <w:r>
              <w:rPr>
                <w:rFonts w:hint="default" w:ascii="Times New Roman" w:hAnsi="Times New Roman" w:eastAsiaTheme="minor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1" w:hRule="atLeast"/>
          <w:jc w:val="center"/>
        </w:trPr>
        <w:tc>
          <w:tcPr>
            <w:tcW w:w="1321"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0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1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241"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开展环境风险评估，制定突发环境事件应急预案并备案，配备应急能力和物资，建设环境应急队伍，并定期演练。企业、园区与地方人民政府环境应急预案应当有机衔接。</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6" w:hRule="atLeast"/>
          <w:jc w:val="center"/>
        </w:trPr>
        <w:tc>
          <w:tcPr>
            <w:tcW w:w="1321"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ZH45022220002</w:t>
            </w:r>
          </w:p>
        </w:tc>
        <w:tc>
          <w:tcPr>
            <w:tcW w:w="200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commentRangeStart w:id="10"/>
            <w:r>
              <w:rPr>
                <w:rFonts w:hint="default" w:eastAsiaTheme="minorEastAsia"/>
                <w:color w:val="auto"/>
                <w:highlight w:val="none"/>
              </w:rPr>
              <w:t>柳城县城镇空间重点管控单元</w:t>
            </w:r>
            <w:r>
              <w:rPr>
                <w:highlight w:val="none"/>
              </w:rPr>
              <w:commentReference w:id="11"/>
            </w:r>
            <w:commentRangeEnd w:id="10"/>
            <w:commentRangeEnd w:id="11"/>
            <w:r>
              <w:rPr>
                <w:highlight w:val="none"/>
              </w:rPr>
              <w:commentReference w:id="10"/>
            </w:r>
          </w:p>
        </w:tc>
        <w:tc>
          <w:tcPr>
            <w:tcW w:w="1160"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1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41"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eastAsia"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．城市建成区内的钢铁、石油、化工、有色金属、水泥、平板玻璃、建筑陶瓷、砖瓦等行业中的高排放、高污染项目，应当逐步进行搬迁、改造或者转型、退出。</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．城市市区、镇和村庄居民区、文化教育科学研究区等人口集中区域禁止设置畜禽养殖场、养殖小区。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1" w:hRule="atLeast"/>
          <w:jc w:val="center"/>
        </w:trPr>
        <w:tc>
          <w:tcPr>
            <w:tcW w:w="1321"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0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1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241"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ascii="Times New Roman" w:hAnsi="Times New Roman" w:eastAsiaTheme="minorEastAsia"/>
                <w:color w:val="auto"/>
                <w:highlight w:val="none"/>
                <w:lang w:val="en-US" w:eastAsia="zh-CN"/>
              </w:rPr>
            </w:pPr>
            <w:r>
              <w:rPr>
                <w:rFonts w:hint="default"/>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color w:val="auto"/>
                <w:highlight w:val="none"/>
                <w:lang w:val="en-US" w:eastAsia="zh-CN"/>
              </w:rPr>
              <w:t>加大燃煤小锅炉淘汰力度。依法依规加快淘汰老旧柴油货车。严格控制施工和道路扬尘污染。禁止露天</w:t>
            </w:r>
            <w:r>
              <w:rPr>
                <w:rFonts w:hint="default" w:ascii="Times New Roman" w:hAnsi="Times New Roman" w:eastAsiaTheme="minorEastAsia"/>
                <w:color w:val="auto"/>
                <w:highlight w:val="none"/>
                <w:lang w:val="en-US" w:eastAsia="zh-CN"/>
              </w:rPr>
              <w:t>焚烧产生有毒有害</w:t>
            </w:r>
            <w:r>
              <w:rPr>
                <w:rFonts w:hint="default" w:ascii="Times New Roman" w:hAnsi="Times New Roman" w:cs="Times New Roman" w:eastAsiaTheme="minorEastAsia"/>
                <w:strike w:val="0"/>
                <w:dstrike w:val="0"/>
                <w:color w:val="auto"/>
                <w:highlight w:val="none"/>
                <w:lang w:val="en-US" w:eastAsia="zh-CN"/>
              </w:rPr>
              <w:t>烟尘和恶臭气体的物质。鼓励建筑装修、汽修喷涂作业、干洗等行业，使用低毒、低挥发性</w:t>
            </w:r>
            <w:r>
              <w:rPr>
                <w:rFonts w:hint="default" w:ascii="Times New Roman" w:hAnsi="Times New Roman" w:eastAsiaTheme="minorEastAsia"/>
                <w:color w:val="auto"/>
                <w:highlight w:val="none"/>
                <w:lang w:val="en-US" w:eastAsia="zh-CN"/>
              </w:rPr>
              <w:t>溶剂。</w:t>
            </w:r>
          </w:p>
          <w:p>
            <w:pPr>
              <w:pStyle w:val="27"/>
              <w:rPr>
                <w:rFonts w:hint="default" w:ascii="Times New Roman" w:hAnsi="Times New Roman" w:eastAsiaTheme="minorEastAsia"/>
                <w:color w:val="auto"/>
                <w:highlight w:val="none"/>
                <w:lang w:val="en-US" w:eastAsia="zh-CN"/>
              </w:rPr>
            </w:pPr>
            <w:r>
              <w:rPr>
                <w:rFonts w:hint="default" w:ascii="Times New Roman" w:hAnsi="Times New Roman" w:eastAsiaTheme="minorEastAsia"/>
                <w:color w:val="auto"/>
                <w:highlight w:val="none"/>
                <w:lang w:val="en-US" w:eastAsia="zh-CN"/>
              </w:rPr>
              <w:t>2</w:t>
            </w:r>
            <w:r>
              <w:rPr>
                <w:rFonts w:hint="default" w:ascii="Times New Roman" w:hAnsi="Times New Roman" w:eastAsiaTheme="minorEastAsia"/>
                <w:color w:val="auto"/>
                <w:highlight w:val="none"/>
                <w:lang w:eastAsia="zh-CN"/>
              </w:rPr>
              <w:t>．</w:t>
            </w:r>
            <w:r>
              <w:rPr>
                <w:rFonts w:hint="default" w:eastAsiaTheme="minorEastAsia"/>
                <w:color w:val="auto"/>
                <w:highlight w:val="none"/>
                <w:lang w:eastAsia="zh-CN"/>
              </w:rPr>
              <w:t>城市建成区基本</w:t>
            </w:r>
            <w:r>
              <w:rPr>
                <w:rFonts w:hint="default" w:ascii="Times New Roman" w:hAnsi="Times New Roman" w:eastAsiaTheme="minorEastAsia"/>
                <w:color w:val="auto"/>
                <w:highlight w:val="none"/>
                <w:lang w:eastAsia="zh-CN"/>
              </w:rPr>
              <w:t>消除生活污水直排口，有效杜绝污水直排水体。</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eastAsiaTheme="minorEastAsia"/>
                <w:color w:val="auto"/>
                <w:highlight w:val="none"/>
                <w:lang w:val="en-US" w:eastAsia="zh-CN"/>
              </w:rPr>
              <w:t>3</w:t>
            </w:r>
            <w:r>
              <w:rPr>
                <w:rFonts w:hint="default" w:ascii="Times New Roman" w:hAnsi="Times New Roman" w:eastAsiaTheme="minorEastAsia"/>
                <w:color w:val="auto"/>
                <w:highlight w:val="none"/>
                <w:lang w:eastAsia="zh-CN"/>
              </w:rPr>
              <w:t>．提高污水处理能力，完善既</w:t>
            </w:r>
            <w:r>
              <w:rPr>
                <w:rFonts w:hint="default" w:ascii="Times New Roman" w:hAnsi="Times New Roman" w:cs="Times New Roman" w:eastAsiaTheme="minorEastAsia"/>
                <w:strike w:val="0"/>
                <w:dstrike w:val="0"/>
                <w:color w:val="auto"/>
                <w:highlight w:val="none"/>
                <w:lang w:eastAsia="zh-CN"/>
              </w:rPr>
              <w:t>有污水处理厂和新建、扩建污水处理厂配套管网建设，基本实现城中村、老旧城区和城乡结合部生活污水收集处理。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4" w:hRule="atLeast"/>
          <w:jc w:val="center"/>
        </w:trPr>
        <w:tc>
          <w:tcPr>
            <w:tcW w:w="1321"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0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1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241"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color w:val="auto"/>
                <w:highlight w:val="none"/>
                <w:lang w:val="en-US" w:eastAsia="zh-CN"/>
              </w:rPr>
              <w:t>对暂</w:t>
            </w:r>
            <w:r>
              <w:rPr>
                <w:rFonts w:hint="default" w:ascii="Times New Roman" w:hAnsi="Times New Roman" w:cs="Times New Roman" w:eastAsiaTheme="minorEastAsia"/>
                <w:strike w:val="0"/>
                <w:dstrike w:val="0"/>
                <w:color w:val="auto"/>
                <w:highlight w:val="none"/>
                <w:lang w:val="en-US" w:eastAsia="zh-CN"/>
              </w:rPr>
              <w:t>不开发利用的污染地块，实施以防止污染扩散为目的的风险管控；对拟开发利用为居住用地和商业、学校、医疗、养老机构等公共设施用地的污染地块，实施以安全利用为目的的风险管控。</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1321"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ZH45022220003</w:t>
            </w:r>
          </w:p>
        </w:tc>
        <w:tc>
          <w:tcPr>
            <w:tcW w:w="200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commentRangeStart w:id="12"/>
            <w:r>
              <w:rPr>
                <w:rFonts w:hint="default" w:eastAsiaTheme="minorEastAsia"/>
                <w:color w:val="auto"/>
                <w:highlight w:val="none"/>
              </w:rPr>
              <w:t>柳城县布局敏感区重点管控单元</w:t>
            </w:r>
            <w:commentRangeEnd w:id="12"/>
            <w:r>
              <w:rPr>
                <w:highlight w:val="none"/>
              </w:rPr>
              <w:commentReference w:id="12"/>
            </w:r>
            <w:r>
              <w:rPr>
                <w:highlight w:val="none"/>
              </w:rPr>
              <w:commentReference w:id="13"/>
            </w:r>
          </w:p>
        </w:tc>
        <w:tc>
          <w:tcPr>
            <w:tcW w:w="1160"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1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41"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原则上避免大规模排放大气污染物的项目布局建设。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5" w:hRule="atLeast"/>
          <w:jc w:val="center"/>
        </w:trPr>
        <w:tc>
          <w:tcPr>
            <w:tcW w:w="1321"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eastAsiaTheme="minorEastAsia"/>
                <w:color w:val="auto"/>
                <w:highlight w:val="none"/>
              </w:rPr>
            </w:pPr>
          </w:p>
        </w:tc>
        <w:tc>
          <w:tcPr>
            <w:tcW w:w="200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eastAsiaTheme="minorEastAsia"/>
                <w:color w:val="auto"/>
                <w:highlight w:val="none"/>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13"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241"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cs="Times New Roman" w:eastAsiaTheme="minorEastAsia"/>
                <w:strike w:val="0"/>
                <w:dstrike w:val="0"/>
                <w:color w:val="auto"/>
                <w:highlight w:val="none"/>
                <w:lang w:val="en-US" w:eastAsia="zh-CN"/>
              </w:rPr>
              <w:t>全面开展“散乱污”企业及集群综合整治行动。加大区域内大气污染治理力度，优化大气污染物排放项目布局，引导新建、扩建排放大气污染工业项目采用清洁生产工艺、先进的污染防治工艺。强化不利气象条件下秸秆焚烧控制，空气污染预警情况下严格执行秸秆禁烧管控。加强VOCs排放企业源头控制。</w:t>
            </w:r>
          </w:p>
          <w:p>
            <w:pPr>
              <w:pStyle w:val="27"/>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val="0"/>
                <w:dstrike w:val="0"/>
                <w:color w:val="auto"/>
                <w:highlight w:val="none"/>
                <w:lang w:val="en-US"/>
              </w:rPr>
            </w:pPr>
            <w:r>
              <w:rPr>
                <w:rFonts w:hint="default" w:ascii="Times New Roman" w:hAnsi="Times New Roman"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3" w:hRule="atLeast"/>
          <w:jc w:val="center"/>
        </w:trPr>
        <w:tc>
          <w:tcPr>
            <w:tcW w:w="1321"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0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1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241"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8" w:hRule="atLeast"/>
          <w:jc w:val="center"/>
        </w:trPr>
        <w:tc>
          <w:tcPr>
            <w:tcW w:w="1321"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ZH45022220004</w:t>
            </w:r>
          </w:p>
        </w:tc>
        <w:tc>
          <w:tcPr>
            <w:tcW w:w="200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rPr>
            </w:pPr>
            <w:commentRangeStart w:id="14"/>
            <w:r>
              <w:rPr>
                <w:rFonts w:hint="default" w:eastAsiaTheme="minorEastAsia"/>
                <w:color w:val="auto"/>
                <w:highlight w:val="none"/>
              </w:rPr>
              <w:t>柳城县其他重点管控单元</w:t>
            </w:r>
            <w:commentRangeEnd w:id="14"/>
            <w:r>
              <w:rPr>
                <w:highlight w:val="none"/>
              </w:rPr>
              <w:commentReference w:id="14"/>
            </w:r>
          </w:p>
        </w:tc>
        <w:tc>
          <w:tcPr>
            <w:tcW w:w="1160"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1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41"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规划产业园区应当依法依规进行审批。新建企业原则上均应建在产业园区。</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居住用地周边严控布局潜在污染扰民和环境风险突出的建设项目。</w:t>
            </w:r>
            <w:r>
              <w:rPr>
                <w:rFonts w:hint="default" w:ascii="Times New Roman" w:hAnsi="Times New Roman" w:cs="Times New Roman" w:eastAsiaTheme="minorEastAsia"/>
                <w:b w:val="0"/>
                <w:strike w:val="0"/>
                <w:dstrike w:val="0"/>
                <w:color w:val="auto"/>
                <w:highlight w:val="none"/>
              </w:rPr>
              <w:t>禁止</w:t>
            </w:r>
            <w:r>
              <w:rPr>
                <w:rFonts w:hint="default" w:ascii="Times New Roman" w:hAnsi="Times New Roman" w:cs="Times New Roman" w:eastAsiaTheme="minorEastAsia"/>
                <w:strike w:val="0"/>
                <w:dstrike w:val="0"/>
                <w:color w:val="auto"/>
                <w:highlight w:val="none"/>
              </w:rPr>
              <w:t>在居民区和学校、医院、疗养院、养老院等单位周边新建、改建、扩建可能造成土壤污染的建设项目。</w:t>
            </w:r>
            <w:r>
              <w:rPr>
                <w:rFonts w:hint="default" w:ascii="Times New Roman" w:hAnsi="Times New Roman" w:cs="Times New Roman" w:eastAsiaTheme="minorEastAsia"/>
                <w:b w:val="0"/>
                <w:strike w:val="0"/>
                <w:dstrike w:val="0"/>
                <w:color w:val="auto"/>
                <w:highlight w:val="none"/>
              </w:rPr>
              <w:t>禁止</w:t>
            </w:r>
            <w:r>
              <w:rPr>
                <w:rFonts w:hint="default" w:ascii="Times New Roman" w:hAnsi="Times New Roman" w:cs="Times New Roman" w:eastAsiaTheme="minorEastAsia"/>
                <w:strike w:val="0"/>
                <w:dstrike w:val="0"/>
                <w:color w:val="auto"/>
                <w:highlight w:val="none"/>
              </w:rPr>
              <w:t>在人口聚居区域内新（改、扩）建涉重金属企业。</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临近生态保护红线的工业企业，应采取有效措施，避免产生不利影响。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8" w:hRule="atLeast"/>
          <w:jc w:val="center"/>
        </w:trPr>
        <w:tc>
          <w:tcPr>
            <w:tcW w:w="1321"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0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1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241"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工业企业应当落实大气污染防治要求，采取有效措施，强化企业大气污染物排放精细化管理、无组织废气排放控制以及高效治污设施建设。</w:t>
            </w:r>
          </w:p>
          <w:p>
            <w:pPr>
              <w:pStyle w:val="27"/>
              <w:keepNext w:val="0"/>
              <w:keepLines w:val="0"/>
              <w:numPr>
                <w:ilvl w:val="0"/>
                <w:numId w:val="0"/>
              </w:numPr>
              <w:suppressLineNumbers w:val="0"/>
              <w:spacing w:before="0" w:beforeAutospacing="0" w:after="0" w:afterAutospacing="0"/>
              <w:ind w:right="0" w:rightChars="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rPr>
              <w:t>规划产业园区建设应同步完善污水处理设施及管网建设；园区及园区企业主要污染物排放应控制在区域环境承载能力范围内，确保环境质量达标。</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7" w:hRule="atLeast"/>
          <w:jc w:val="center"/>
        </w:trPr>
        <w:tc>
          <w:tcPr>
            <w:tcW w:w="1321"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00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6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1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241"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开展环境风险评估，制定突发环境事件应急预案并备案，配备应急能力和物资，建设环境应急队伍，并定期演练。完善区域应急联动机制。</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1" w:hRule="atLeast"/>
          <w:jc w:val="center"/>
        </w:trPr>
        <w:tc>
          <w:tcPr>
            <w:tcW w:w="1321"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ZH45022230001</w:t>
            </w:r>
          </w:p>
        </w:tc>
        <w:tc>
          <w:tcPr>
            <w:tcW w:w="200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柳城县一般管控单元</w:t>
            </w:r>
          </w:p>
        </w:tc>
        <w:tc>
          <w:tcPr>
            <w:tcW w:w="116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一般管控单元</w:t>
            </w:r>
          </w:p>
        </w:tc>
        <w:tc>
          <w:tcPr>
            <w:tcW w:w="121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41"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永久基本农田一经划定，任何单位和个人不得擅自占用或改变用途。禁止任何单位和个人破坏永久基本农田耕作层。对永久基本农田实行严格保护，确保其面积不减少、土壤环境质量不下降，除法律规定的重点建设项目选址确实无法避让外，其他任何建设不得占用。</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在永久基本农田集中区域，不得新建可能造成土壤污染的建设项目；已经建成的，应当限期关闭拆除。</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禁止将重金属或者其他有毒有害物质含量超标的工业固体废物、生活垃圾或者污染土壤用于土地复垦。</w:t>
            </w:r>
          </w:p>
        </w:tc>
      </w:tr>
    </w:tbl>
    <w:p>
      <w:pPr>
        <w:widowControl/>
        <w:jc w:val="left"/>
        <w:rPr>
          <w:rFonts w:hint="default" w:ascii="Times New Roman" w:hAnsi="Times New Roman" w:cs="Times New Roman"/>
          <w:strike w:val="0"/>
          <w:dstrike w:val="0"/>
          <w:color w:val="auto"/>
          <w:highlight w:val="none"/>
        </w:rPr>
      </w:pPr>
      <w:r>
        <w:rPr>
          <w:rFonts w:hint="default" w:ascii="Times New Roman" w:hAnsi="Times New Roman" w:cs="Times New Roman"/>
          <w:strike w:val="0"/>
          <w:dstrike w:val="0"/>
          <w:color w:val="auto"/>
          <w:highlight w:val="none"/>
        </w:rPr>
        <w:br w:type="page"/>
      </w:r>
    </w:p>
    <w:p>
      <w:pPr>
        <w:pStyle w:val="3"/>
        <w:rPr>
          <w:rFonts w:hint="default" w:ascii="Times New Roman" w:hAnsi="Times New Roman" w:cs="Times New Roman"/>
          <w:strike w:val="0"/>
          <w:dstrike w:val="0"/>
          <w:color w:val="auto"/>
          <w:highlight w:val="none"/>
        </w:rPr>
      </w:pPr>
      <w:bookmarkStart w:id="64" w:name="_Toc22275"/>
      <w:bookmarkStart w:id="65" w:name="_Toc16668"/>
      <w:bookmarkStart w:id="66" w:name="_Toc8121"/>
      <w:bookmarkStart w:id="67" w:name="_Toc14951"/>
      <w:bookmarkStart w:id="68" w:name="_Toc13383"/>
      <w:bookmarkStart w:id="69" w:name="_Toc27601843"/>
      <w:bookmarkStart w:id="70" w:name="_Toc25971"/>
      <w:bookmarkStart w:id="71" w:name="_Toc14651"/>
      <w:bookmarkStart w:id="72" w:name="_Toc32282"/>
      <w:bookmarkStart w:id="73" w:name="_Toc14186"/>
      <w:bookmarkStart w:id="74" w:name="_Toc8912"/>
      <w:bookmarkStart w:id="75" w:name="_Toc17683"/>
      <w:r>
        <w:rPr>
          <w:rFonts w:hint="default" w:ascii="Times New Roman" w:hAnsi="Times New Roman" w:cs="Times New Roman"/>
          <w:strike w:val="0"/>
          <w:dstrike w:val="0"/>
          <w:color w:val="auto"/>
          <w:highlight w:val="none"/>
          <w:lang w:val="en-US" w:eastAsia="zh-CN"/>
        </w:rPr>
        <w:t xml:space="preserve">7 </w:t>
      </w:r>
      <w:r>
        <w:rPr>
          <w:rFonts w:hint="default" w:ascii="Times New Roman" w:hAnsi="Times New Roman" w:cs="Times New Roman"/>
          <w:strike w:val="0"/>
          <w:dstrike w:val="0"/>
          <w:color w:val="auto"/>
          <w:highlight w:val="none"/>
        </w:rPr>
        <w:t>鹿寨县</w:t>
      </w:r>
      <w:bookmarkEnd w:id="64"/>
      <w:bookmarkEnd w:id="65"/>
      <w:bookmarkEnd w:id="66"/>
      <w:bookmarkEnd w:id="67"/>
      <w:bookmarkEnd w:id="68"/>
      <w:bookmarkEnd w:id="69"/>
      <w:bookmarkEnd w:id="70"/>
      <w:bookmarkEnd w:id="71"/>
      <w:bookmarkEnd w:id="72"/>
      <w:bookmarkEnd w:id="73"/>
      <w:bookmarkEnd w:id="74"/>
    </w:p>
    <w:p>
      <w:pPr>
        <w:pStyle w:val="25"/>
        <w:rPr>
          <w:rFonts w:hint="default" w:ascii="Times New Roman" w:hAnsi="Times New Roman" w:cs="Times New Roman"/>
          <w:strike w:val="0"/>
          <w:dstrike w:val="0"/>
          <w:color w:val="auto"/>
          <w:highlight w:val="none"/>
        </w:rPr>
      </w:pPr>
      <w:r>
        <w:rPr>
          <w:rFonts w:hint="default" w:ascii="Times New Roman" w:hAnsi="Times New Roman" w:cs="Times New Roman"/>
          <w:strike w:val="0"/>
          <w:dstrike w:val="0"/>
          <w:color w:val="auto"/>
          <w:highlight w:val="none"/>
        </w:rPr>
        <w:t>表</w:t>
      </w:r>
      <w:r>
        <w:rPr>
          <w:rFonts w:hint="default" w:cs="Times New Roman"/>
          <w:strike w:val="0"/>
          <w:dstrike w:val="0"/>
          <w:color w:val="auto"/>
          <w:highlight w:val="none"/>
          <w:lang w:val="en-US" w:eastAsia="zh-CN"/>
        </w:rPr>
        <w:t>7</w:t>
      </w:r>
      <w:r>
        <w:rPr>
          <w:rFonts w:hint="default" w:ascii="Times New Roman" w:hAnsi="Times New Roman" w:cs="Times New Roman"/>
          <w:strike w:val="0"/>
          <w:dstrike w:val="0"/>
          <w:color w:val="auto"/>
          <w:highlight w:val="none"/>
          <w:lang w:val="en-US" w:eastAsia="zh-CN"/>
        </w:rPr>
        <w:t>-1</w:t>
      </w:r>
      <w:r>
        <w:rPr>
          <w:rFonts w:hint="default" w:ascii="Times New Roman" w:hAnsi="Times New Roman" w:cs="Times New Roman"/>
          <w:strike w:val="0"/>
          <w:dstrike w:val="0"/>
          <w:color w:val="auto"/>
          <w:highlight w:val="none"/>
        </w:rPr>
        <w:t xml:space="preserve">  柳州市鹿寨县</w:t>
      </w:r>
      <w:r>
        <w:rPr>
          <w:rFonts w:hint="default" w:ascii="Times New Roman" w:hAnsi="Times New Roman" w:cs="Times New Roman"/>
          <w:strike w:val="0"/>
          <w:dstrike w:val="0"/>
          <w:color w:val="auto"/>
          <w:highlight w:val="none"/>
          <w:lang w:val="en-US" w:eastAsia="zh-CN"/>
        </w:rPr>
        <w:t>生态环境准入及管控要求</w:t>
      </w:r>
    </w:p>
    <w:tbl>
      <w:tblPr>
        <w:tblStyle w:val="15"/>
        <w:tblW w:w="14192" w:type="dxa"/>
        <w:jc w:val="center"/>
        <w:tblInd w:w="-1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2142"/>
        <w:gridCol w:w="1253"/>
        <w:gridCol w:w="1240"/>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blHeader/>
          <w:jc w:val="center"/>
        </w:trPr>
        <w:tc>
          <w:tcPr>
            <w:tcW w:w="1307"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环境管控单元编码</w:t>
            </w:r>
          </w:p>
        </w:tc>
        <w:tc>
          <w:tcPr>
            <w:tcW w:w="2142"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环境管控单元名称</w:t>
            </w:r>
          </w:p>
        </w:tc>
        <w:tc>
          <w:tcPr>
            <w:tcW w:w="1253"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环境管控单元类别</w:t>
            </w:r>
          </w:p>
        </w:tc>
        <w:tc>
          <w:tcPr>
            <w:tcW w:w="9490" w:type="dxa"/>
            <w:gridSpan w:val="2"/>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b/>
                <w:bCs/>
                <w:color w:val="auto"/>
                <w:highlight w:val="none"/>
                <w:lang w:val="en-US" w:eastAsia="zh-CN"/>
              </w:rPr>
              <w:t>生态环境准入及管控要求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jc w:val="center"/>
        </w:trPr>
        <w:tc>
          <w:tcPr>
            <w:tcW w:w="130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ZH45022310001</w:t>
            </w:r>
          </w:p>
        </w:tc>
        <w:tc>
          <w:tcPr>
            <w:tcW w:w="2142"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rPr>
            </w:pPr>
            <w:r>
              <w:rPr>
                <w:rFonts w:hint="default" w:eastAsiaTheme="minorEastAsia"/>
                <w:color w:val="auto"/>
                <w:highlight w:val="none"/>
              </w:rPr>
              <w:t>广西柳州拉沟自治区级自然保护区生态保护红线</w:t>
            </w:r>
          </w:p>
        </w:tc>
        <w:tc>
          <w:tcPr>
            <w:tcW w:w="125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50"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核心保护区内，除满足国家特殊战略需要的有关活动外，原则上禁止人为活动；一般控制区内，除满足国家特殊战略需要的有关活动外，原则上禁止开发性、生产性建设活动，仅允许对生态功能不造成破坏的有限人为活动。</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自然保护区</w:t>
            </w:r>
            <w:r>
              <w:rPr>
                <w:rFonts w:hint="default" w:eastAsiaTheme="minorEastAsia"/>
                <w:color w:val="auto"/>
                <w:highlight w:val="none"/>
                <w:lang w:eastAsia="zh-CN"/>
              </w:rPr>
              <w:t>、</w:t>
            </w:r>
            <w:r>
              <w:rPr>
                <w:rFonts w:hint="default" w:eastAsiaTheme="minorEastAsia"/>
                <w:color w:val="auto"/>
                <w:highlight w:val="none"/>
              </w:rPr>
              <w:t>饮用水水源保护区以及生态公益林、天然林还需执行国家、自治区以及市县相应法律法规要求。</w:t>
            </w:r>
          </w:p>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6" w:hRule="atLeast"/>
          <w:jc w:val="center"/>
        </w:trPr>
        <w:tc>
          <w:tcPr>
            <w:tcW w:w="130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ZH45022310002</w:t>
            </w:r>
          </w:p>
        </w:tc>
        <w:tc>
          <w:tcPr>
            <w:tcW w:w="2142"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val="en-US" w:eastAsia="zh-CN"/>
              </w:rPr>
            </w:pPr>
            <w:r>
              <w:rPr>
                <w:rFonts w:hint="default" w:eastAsiaTheme="minorEastAsia"/>
                <w:color w:val="auto"/>
                <w:highlight w:val="none"/>
              </w:rPr>
              <w:t>广西柳州洛清江自治区级森林公园生态保护红线</w:t>
            </w:r>
          </w:p>
        </w:tc>
        <w:tc>
          <w:tcPr>
            <w:tcW w:w="125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cs="Times New Roman"/>
                <w:strike w:val="0"/>
                <w:dstrike w:val="0"/>
                <w:color w:val="auto"/>
                <w:szCs w:val="21"/>
                <w:highlight w:val="none"/>
              </w:rPr>
              <w:t>优先保护单元</w:t>
            </w:r>
          </w:p>
        </w:tc>
        <w:tc>
          <w:tcPr>
            <w:tcW w:w="124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strike w:val="0"/>
                <w:dstrike w:val="0"/>
                <w:color w:val="auto"/>
                <w:szCs w:val="21"/>
                <w:highlight w:val="none"/>
              </w:rPr>
              <w:t>空间布局约束</w:t>
            </w:r>
          </w:p>
        </w:tc>
        <w:tc>
          <w:tcPr>
            <w:tcW w:w="8250" w:type="dxa"/>
            <w:shd w:val="clear" w:color="auto" w:fill="auto"/>
            <w:vAlign w:val="center"/>
          </w:tcPr>
          <w:p>
            <w:pPr>
              <w:pStyle w:val="27"/>
              <w:keepNext w:val="0"/>
              <w:keepLines w:val="0"/>
              <w:numPr>
                <w:ilvl w:val="-1"/>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numPr>
                <w:ilvl w:val="-1"/>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核心保护区内，除满足国家特殊战略需要的有关活动外，原则上禁止人为活动；一般控制区内，除满足国家特殊战略需要的有关活动外，原则上禁止开发性、生产性建设活动，仅允许对生态功能不造成破坏的有限人为活动。</w:t>
            </w:r>
          </w:p>
          <w:p>
            <w:pPr>
              <w:pStyle w:val="27"/>
              <w:keepNext w:val="0"/>
              <w:keepLines w:val="0"/>
              <w:numPr>
                <w:ilvl w:val="-1"/>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numPr>
                <w:ilvl w:val="-1"/>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森林公园以及生态公益林、天然林还需执行国家、自治区以及市县相应法律法规要求。</w:t>
            </w:r>
          </w:p>
          <w:p>
            <w:pPr>
              <w:pStyle w:val="27"/>
              <w:keepNext w:val="0"/>
              <w:keepLines w:val="0"/>
              <w:numPr>
                <w:ilvl w:val="-1"/>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8" w:hRule="atLeast"/>
          <w:jc w:val="center"/>
        </w:trPr>
        <w:tc>
          <w:tcPr>
            <w:tcW w:w="130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ZH45022310003</w:t>
            </w:r>
          </w:p>
        </w:tc>
        <w:tc>
          <w:tcPr>
            <w:tcW w:w="2142"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val="en-US" w:eastAsia="zh-CN"/>
              </w:rPr>
            </w:pPr>
            <w:r>
              <w:rPr>
                <w:rFonts w:hint="default" w:eastAsiaTheme="minorEastAsia"/>
                <w:color w:val="auto"/>
                <w:highlight w:val="none"/>
              </w:rPr>
              <w:t>广西鹿寨香桥岩溶国家地质公园生态保护红线</w:t>
            </w:r>
          </w:p>
        </w:tc>
        <w:tc>
          <w:tcPr>
            <w:tcW w:w="1253" w:type="dxa"/>
            <w:shd w:val="clear" w:color="auto" w:fill="auto"/>
            <w:vAlign w:val="center"/>
          </w:tcPr>
          <w:p>
            <w:pPr>
              <w:pStyle w:val="14"/>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kern w:val="2"/>
                <w:sz w:val="21"/>
                <w:szCs w:val="21"/>
                <w:highlight w:val="none"/>
                <w:lang w:val="en-US" w:eastAsia="zh-CN" w:bidi="ar"/>
              </w:rPr>
              <w:t>优先保护单元</w:t>
            </w:r>
          </w:p>
        </w:tc>
        <w:tc>
          <w:tcPr>
            <w:tcW w:w="1240" w:type="dxa"/>
            <w:shd w:val="clear" w:color="auto" w:fill="auto"/>
            <w:vAlign w:val="center"/>
          </w:tcPr>
          <w:p>
            <w:pPr>
              <w:pStyle w:val="14"/>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eastAsia="宋体" w:cs="Times New Roman"/>
                <w:strike w:val="0"/>
                <w:dstrike w:val="0"/>
                <w:color w:val="auto"/>
                <w:kern w:val="2"/>
                <w:sz w:val="21"/>
                <w:szCs w:val="21"/>
                <w:highlight w:val="none"/>
                <w:lang w:val="en-US" w:eastAsia="zh-CN" w:bidi="ar"/>
              </w:rPr>
              <w:t>空间布局约束</w:t>
            </w:r>
          </w:p>
        </w:tc>
        <w:tc>
          <w:tcPr>
            <w:tcW w:w="8250" w:type="dxa"/>
            <w:shd w:val="clear" w:color="auto" w:fill="auto"/>
            <w:vAlign w:val="center"/>
          </w:tcPr>
          <w:p>
            <w:pPr>
              <w:pStyle w:val="27"/>
              <w:keepNext w:val="0"/>
              <w:keepLines w:val="0"/>
              <w:widowControl w:val="0"/>
              <w:numPr>
                <w:ilvl w:val="0"/>
                <w:numId w:val="0"/>
              </w:numPr>
              <w:suppressLineNumbers w:val="0"/>
              <w:adjustRightInd w:val="0"/>
              <w:snapToGrid w:val="0"/>
              <w:spacing w:before="0" w:beforeAutospacing="0" w:after="0" w:afterAutospacing="0"/>
              <w:ind w:left="0" w:right="0"/>
              <w:jc w:val="both"/>
              <w:rPr>
                <w:rFonts w:hint="default" w:ascii="Times New Roman" w:hAnsi="Times New Roman" w:cs="Times New Roman" w:eastAsiaTheme="minorEastAsia"/>
                <w:color w:val="auto"/>
                <w:highlight w:val="none"/>
                <w:lang w:bidi="ar"/>
              </w:rPr>
            </w:pPr>
            <w:r>
              <w:rPr>
                <w:rFonts w:hint="default" w:ascii="Times New Roman" w:hAnsi="Times New Roman" w:cs="Times New Roman"/>
                <w:color w:val="auto"/>
                <w:kern w:val="2"/>
                <w:sz w:val="21"/>
                <w:szCs w:val="21"/>
                <w:highlight w:val="none"/>
                <w:lang w:bidi="ar"/>
              </w:rPr>
              <w:t>1</w:t>
            </w:r>
            <w:r>
              <w:rPr>
                <w:rFonts w:hint="default" w:cs="Times New Roman"/>
                <w:color w:val="auto"/>
                <w:kern w:val="2"/>
                <w:sz w:val="21"/>
                <w:szCs w:val="21"/>
                <w:highlight w:val="none"/>
                <w:lang w:eastAsia="zh-CN" w:bidi="ar"/>
              </w:rPr>
              <w:t>．</w:t>
            </w:r>
            <w:r>
              <w:rPr>
                <w:rFonts w:hint="default" w:ascii="Times New Roman" w:hAnsi="Times New Roman" w:cs="Times New Roman"/>
                <w:color w:val="auto"/>
                <w:kern w:val="2"/>
                <w:sz w:val="21"/>
                <w:szCs w:val="21"/>
                <w:highlight w:val="none"/>
                <w:lang w:bidi="ar"/>
              </w:rPr>
              <w:t>原则上</w:t>
            </w:r>
            <w:r>
              <w:rPr>
                <w:rFonts w:hint="default" w:ascii="Times New Roman" w:hAnsi="Times New Roman" w:cs="Times New Roman" w:eastAsiaTheme="minorEastAsia"/>
                <w:color w:val="auto"/>
                <w:highlight w:val="none"/>
                <w:lang w:bidi="ar"/>
              </w:rPr>
              <w:t>按禁止开发区域的要求进行管理。严禁不符合主体功能定位的各类开发活动，严禁任意改变用途，严格禁止任何单位和个人擅自占用和改变用地性质。</w:t>
            </w:r>
          </w:p>
          <w:p>
            <w:pPr>
              <w:pStyle w:val="27"/>
              <w:keepNext w:val="0"/>
              <w:keepLines w:val="0"/>
              <w:widowControl w:val="0"/>
              <w:numPr>
                <w:ilvl w:val="0"/>
                <w:numId w:val="0"/>
              </w:numPr>
              <w:suppressLineNumbers w:val="0"/>
              <w:adjustRightInd w:val="0"/>
              <w:snapToGrid w:val="0"/>
              <w:spacing w:before="0" w:beforeAutospacing="0" w:after="0" w:afterAutospacing="0"/>
              <w:ind w:left="0" w:right="0"/>
              <w:jc w:val="both"/>
              <w:rPr>
                <w:rFonts w:hint="default" w:ascii="Times New Roman" w:hAnsi="Times New Roman" w:cs="Times New Roman" w:eastAsiaTheme="minorEastAsia"/>
                <w:color w:val="auto"/>
                <w:highlight w:val="none"/>
                <w:lang w:bidi="ar"/>
              </w:rPr>
            </w:pPr>
            <w:r>
              <w:rPr>
                <w:rFonts w:hint="default" w:ascii="Times New Roman" w:hAnsi="Times New Roman" w:cs="Times New Roman" w:eastAsiaTheme="minorEastAsia"/>
                <w:color w:val="auto"/>
                <w:highlight w:val="none"/>
                <w:lang w:bidi="ar"/>
              </w:rPr>
              <w:t>2</w:t>
            </w:r>
            <w:r>
              <w:rPr>
                <w:rFonts w:hint="default" w:cs="Times New Roman" w:eastAsiaTheme="minorEastAsia"/>
                <w:color w:val="auto"/>
                <w:highlight w:val="none"/>
                <w:lang w:eastAsia="zh-CN" w:bidi="ar"/>
              </w:rPr>
              <w:t>．</w:t>
            </w:r>
            <w:r>
              <w:rPr>
                <w:rFonts w:hint="default" w:ascii="Times New Roman" w:hAnsi="Times New Roman" w:cs="Times New Roman" w:eastAsiaTheme="minorEastAsia"/>
                <w:color w:val="auto"/>
                <w:highlight w:val="none"/>
                <w:lang w:bidi="ar"/>
              </w:rPr>
              <w:t>核心保护区内，除满足国家特殊战略需要的有关活动外，原则上禁止人为活动；一般控制区内，除满足国家特殊战略需要的有关活动外，原则上禁止开发性、生产性建设活动，仅允许对生态功能不造成破坏的有限人为活动。</w:t>
            </w:r>
          </w:p>
          <w:p>
            <w:pPr>
              <w:pStyle w:val="27"/>
              <w:keepNext w:val="0"/>
              <w:keepLines w:val="0"/>
              <w:widowControl w:val="0"/>
              <w:numPr>
                <w:ilvl w:val="0"/>
                <w:numId w:val="0"/>
              </w:numPr>
              <w:suppressLineNumbers w:val="0"/>
              <w:adjustRightInd w:val="0"/>
              <w:snapToGrid w:val="0"/>
              <w:spacing w:before="0" w:beforeAutospacing="0" w:after="0" w:afterAutospacing="0"/>
              <w:ind w:left="0" w:right="0"/>
              <w:jc w:val="both"/>
              <w:rPr>
                <w:rFonts w:hint="default" w:ascii="Times New Roman" w:hAnsi="Times New Roman" w:cs="Times New Roman"/>
                <w:color w:val="auto"/>
                <w:kern w:val="2"/>
                <w:sz w:val="21"/>
                <w:szCs w:val="21"/>
                <w:highlight w:val="none"/>
                <w:lang w:bidi="ar"/>
              </w:rPr>
            </w:pPr>
            <w:r>
              <w:rPr>
                <w:rFonts w:hint="default" w:ascii="Times New Roman" w:hAnsi="Times New Roman" w:cs="Times New Roman" w:eastAsiaTheme="minorEastAsia"/>
                <w:color w:val="auto"/>
                <w:highlight w:val="none"/>
                <w:lang w:bidi="ar"/>
              </w:rPr>
              <w:t>3</w:t>
            </w:r>
            <w:r>
              <w:rPr>
                <w:rFonts w:hint="default" w:cs="Times New Roman" w:eastAsiaTheme="minorEastAsia"/>
                <w:color w:val="auto"/>
                <w:highlight w:val="none"/>
                <w:lang w:eastAsia="zh-CN" w:bidi="ar"/>
              </w:rPr>
              <w:t>．</w:t>
            </w:r>
            <w:r>
              <w:rPr>
                <w:rFonts w:hint="default" w:ascii="Times New Roman" w:hAnsi="Times New Roman" w:cs="Times New Roman" w:eastAsiaTheme="minorEastAsia"/>
                <w:color w:val="auto"/>
                <w:highlight w:val="none"/>
                <w:lang w:bidi="ar"/>
              </w:rPr>
              <w:t>前述所</w:t>
            </w:r>
            <w:r>
              <w:rPr>
                <w:rFonts w:hint="default" w:ascii="Times New Roman" w:hAnsi="Times New Roman" w:cs="Times New Roman"/>
                <w:color w:val="auto"/>
                <w:highlight w:val="none"/>
                <w:lang w:bidi="ar"/>
              </w:rPr>
              <w:t>列有限人为活动按照《中共中</w:t>
            </w:r>
            <w:r>
              <w:rPr>
                <w:rFonts w:hint="default" w:ascii="Times New Roman" w:hAnsi="Times New Roman" w:cs="Times New Roman"/>
                <w:color w:val="auto"/>
                <w:kern w:val="2"/>
                <w:sz w:val="21"/>
                <w:szCs w:val="21"/>
                <w:highlight w:val="none"/>
                <w:lang w:bidi="ar"/>
              </w:rPr>
              <w:t>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ascii="Times New Roman" w:hAnsi="Times New Roman" w:cs="Times New Roman"/>
                <w:color w:val="auto"/>
                <w:kern w:val="2"/>
                <w:sz w:val="21"/>
                <w:szCs w:val="21"/>
                <w:highlight w:val="none"/>
                <w:lang w:bidi="ar"/>
              </w:rPr>
              <w:t>环境管控及准入要求清单进行。</w:t>
            </w:r>
          </w:p>
          <w:p>
            <w:pPr>
              <w:pStyle w:val="27"/>
              <w:keepNext w:val="0"/>
              <w:keepLines w:val="0"/>
              <w:widowControl w:val="0"/>
              <w:numPr>
                <w:ilvl w:val="0"/>
                <w:numId w:val="0"/>
              </w:numPr>
              <w:suppressLineNumbers w:val="0"/>
              <w:adjustRightInd w:val="0"/>
              <w:snapToGrid w:val="0"/>
              <w:spacing w:before="0" w:beforeAutospacing="0" w:after="0" w:afterAutospacing="0"/>
              <w:ind w:left="0" w:right="0"/>
              <w:jc w:val="both"/>
              <w:rPr>
                <w:rFonts w:hint="default" w:ascii="Times New Roman" w:hAnsi="Times New Roman" w:cs="Times New Roman" w:eastAsiaTheme="minorEastAsia"/>
                <w:color w:val="auto"/>
                <w:highlight w:val="none"/>
                <w:lang w:bidi="ar"/>
              </w:rPr>
            </w:pPr>
            <w:r>
              <w:rPr>
                <w:rFonts w:hint="default" w:ascii="Times New Roman" w:hAnsi="Times New Roman" w:cs="Times New Roman"/>
                <w:color w:val="auto"/>
                <w:kern w:val="2"/>
                <w:sz w:val="21"/>
                <w:szCs w:val="21"/>
                <w:highlight w:val="none"/>
                <w:lang w:bidi="ar"/>
              </w:rPr>
              <w:t>4</w:t>
            </w:r>
            <w:r>
              <w:rPr>
                <w:rFonts w:hint="default" w:cs="Times New Roman"/>
                <w:color w:val="auto"/>
                <w:kern w:val="2"/>
                <w:sz w:val="21"/>
                <w:szCs w:val="21"/>
                <w:highlight w:val="none"/>
                <w:lang w:eastAsia="zh-CN" w:bidi="ar"/>
              </w:rPr>
              <w:t>．</w:t>
            </w:r>
            <w:r>
              <w:rPr>
                <w:rFonts w:hint="default" w:ascii="Times New Roman" w:hAnsi="Times New Roman" w:cs="Times New Roman" w:eastAsiaTheme="minorEastAsia"/>
                <w:color w:val="auto"/>
                <w:highlight w:val="none"/>
                <w:lang w:bidi="ar"/>
              </w:rPr>
              <w:t>地质</w:t>
            </w:r>
            <w:r>
              <w:rPr>
                <w:rFonts w:hint="default" w:ascii="Times New Roman" w:hAnsi="Times New Roman" w:eastAsia="宋体" w:cs="Times New Roman"/>
                <w:color w:val="auto"/>
                <w:kern w:val="2"/>
                <w:sz w:val="21"/>
                <w:szCs w:val="21"/>
                <w:highlight w:val="none"/>
                <w:lang w:bidi="ar"/>
              </w:rPr>
              <w:t>公园</w:t>
            </w:r>
            <w:r>
              <w:rPr>
                <w:rFonts w:hint="default" w:ascii="Times New Roman" w:hAnsi="Times New Roman" w:cs="Times New Roman"/>
                <w:color w:val="auto"/>
                <w:kern w:val="2"/>
                <w:sz w:val="21"/>
                <w:szCs w:val="21"/>
                <w:highlight w:val="none"/>
                <w:lang w:bidi="ar"/>
              </w:rPr>
              <w:t>、</w:t>
            </w:r>
            <w:r>
              <w:rPr>
                <w:rFonts w:hint="default" w:ascii="Times New Roman" w:hAnsi="Times New Roman" w:eastAsia="宋体" w:cs="Times New Roman"/>
                <w:strike w:val="0"/>
                <w:dstrike w:val="0"/>
                <w:color w:val="auto"/>
                <w:kern w:val="2"/>
                <w:sz w:val="21"/>
                <w:szCs w:val="21"/>
                <w:highlight w:val="none"/>
                <w:lang w:val="en-US" w:eastAsia="zh-CN" w:bidi="ar"/>
              </w:rPr>
              <w:t>风景名胜区</w:t>
            </w:r>
            <w:r>
              <w:rPr>
                <w:rFonts w:hint="default" w:ascii="Times New Roman" w:hAnsi="Times New Roman" w:cs="Times New Roman"/>
                <w:color w:val="auto"/>
                <w:kern w:val="2"/>
                <w:sz w:val="21"/>
                <w:szCs w:val="21"/>
                <w:highlight w:val="none"/>
                <w:lang w:bidi="ar"/>
              </w:rPr>
              <w:t>以及生态公益林、天然林还需执行国家、自治区以及市县相应法律法规</w:t>
            </w:r>
            <w:r>
              <w:rPr>
                <w:rFonts w:hint="default" w:ascii="Times New Roman" w:hAnsi="Times New Roman" w:cs="Times New Roman" w:eastAsiaTheme="minorEastAsia"/>
                <w:color w:val="auto"/>
                <w:highlight w:val="none"/>
                <w:lang w:bidi="ar"/>
              </w:rPr>
              <w:t>要求。</w:t>
            </w:r>
          </w:p>
          <w:p>
            <w:pPr>
              <w:keepNext w:val="0"/>
              <w:keepLines w:val="0"/>
              <w:widowControl w:val="0"/>
              <w:suppressLineNumbers w:val="0"/>
              <w:adjustRightInd w:val="0"/>
              <w:snapToGrid w:val="0"/>
              <w:spacing w:before="0" w:beforeAutospacing="0" w:after="0" w:afterAutospacing="0"/>
              <w:ind w:left="0" w:leftChars="0" w:right="0" w:rightChars="0" w:firstLine="0" w:firstLineChars="0"/>
              <w:jc w:val="both"/>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color w:val="auto"/>
                <w:highlight w:val="none"/>
                <w:lang w:bidi="ar"/>
              </w:rPr>
              <w:t>5</w:t>
            </w:r>
            <w:r>
              <w:rPr>
                <w:rFonts w:hint="default" w:ascii="Times New Roman" w:hAnsi="Times New Roman" w:cs="Times New Roman" w:eastAsiaTheme="minorEastAsia"/>
                <w:color w:val="auto"/>
                <w:highlight w:val="none"/>
                <w:lang w:eastAsia="zh-CN" w:bidi="ar"/>
              </w:rPr>
              <w:t>．</w:t>
            </w:r>
            <w:r>
              <w:rPr>
                <w:rFonts w:hint="default" w:ascii="Times New Roman" w:hAnsi="Times New Roman" w:cs="Times New Roman" w:eastAsiaTheme="minorEastAsia"/>
                <w:color w:val="auto"/>
                <w:highlight w:val="none"/>
                <w:lang w:bidi="ar"/>
              </w:rPr>
              <w:t>《生态保护红线管理办法》出台后，按其规定执</w:t>
            </w:r>
            <w:r>
              <w:rPr>
                <w:rFonts w:hint="default" w:ascii="Times New Roman" w:hAnsi="Times New Roman" w:cs="Times New Roman"/>
                <w:color w:val="auto"/>
                <w:kern w:val="2"/>
                <w:sz w:val="21"/>
                <w:szCs w:val="21"/>
                <w:highlight w:val="none"/>
                <w:lang w:bidi="ar"/>
              </w:rPr>
              <w:t>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1" w:hRule="atLeast"/>
          <w:jc w:val="center"/>
        </w:trPr>
        <w:tc>
          <w:tcPr>
            <w:tcW w:w="130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ZH45022310004</w:t>
            </w:r>
          </w:p>
        </w:tc>
        <w:tc>
          <w:tcPr>
            <w:tcW w:w="2142"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桂北山地水源涵养与生物多样性维护生态保护红线</w:t>
            </w:r>
          </w:p>
        </w:tc>
        <w:tc>
          <w:tcPr>
            <w:tcW w:w="125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50"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在符合现行法律法规前提下，除国家重大战略项目外，仅允许对生态功能不造成破坏的有限人为活动。</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公益林、天然林还需执行国家、自治区以及市县相应法律法规要求。</w:t>
            </w:r>
          </w:p>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eastAsia="zh-CN"/>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6" w:hRule="atLeast"/>
          <w:jc w:val="center"/>
        </w:trPr>
        <w:tc>
          <w:tcPr>
            <w:tcW w:w="130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ZH45022310005</w:t>
            </w:r>
          </w:p>
        </w:tc>
        <w:tc>
          <w:tcPr>
            <w:tcW w:w="2142"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架桥岭-大瑶山水源涵养与生物多样性维护生态保护红线</w:t>
            </w:r>
          </w:p>
        </w:tc>
        <w:tc>
          <w:tcPr>
            <w:tcW w:w="1253"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40"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50"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在符合现行法律法规前提下，除国家重大战略项目外，仅允许对生态功能不造成破坏的有限人为活动。</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饮用水水源保护区以及生态公益林、天然林还需执行国家、自治区以及市县相应法律法规要求。</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5" w:hRule="atLeast"/>
          <w:jc w:val="center"/>
        </w:trPr>
        <w:tc>
          <w:tcPr>
            <w:tcW w:w="130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ZH45022310006</w:t>
            </w:r>
          </w:p>
        </w:tc>
        <w:tc>
          <w:tcPr>
            <w:tcW w:w="2142"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柳江-黔江流域水源涵养生态保护红线</w:t>
            </w:r>
          </w:p>
        </w:tc>
        <w:tc>
          <w:tcPr>
            <w:tcW w:w="1253"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40"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50"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在符合现行法律法规前提下，除国家重大战略项目外，仅允许对生态功能不造成破坏的有限人为活动。</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饮用水水源保护区、风景名胜区以及生态公益林、天然林还需执行国家、自治区以及市县相应法律法规要求。</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5" w:hRule="atLeast"/>
          <w:jc w:val="center"/>
        </w:trPr>
        <w:tc>
          <w:tcPr>
            <w:tcW w:w="130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ZH45022310007</w:t>
            </w:r>
          </w:p>
        </w:tc>
        <w:tc>
          <w:tcPr>
            <w:tcW w:w="2142"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融安-鹿寨-永福岩溶山地水土保持生态保护红线</w:t>
            </w:r>
          </w:p>
        </w:tc>
        <w:tc>
          <w:tcPr>
            <w:tcW w:w="1253"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40"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50"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在符合现行法律法规前提下，除国家重大战略项目外，仅允许对生态功能不造成破坏的有限人为活动。</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风景名胜区以及生态公益林、天然林还需执行国家、自治区以及市县相应法律法规要求。</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1" w:hRule="atLeast"/>
          <w:jc w:val="center"/>
        </w:trPr>
        <w:tc>
          <w:tcPr>
            <w:tcW w:w="130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ZH45022310008</w:t>
            </w:r>
          </w:p>
        </w:tc>
        <w:tc>
          <w:tcPr>
            <w:tcW w:w="2142"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湘江-桂江流域水源涵养生态保护红线</w:t>
            </w:r>
          </w:p>
        </w:tc>
        <w:tc>
          <w:tcPr>
            <w:tcW w:w="1253"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40"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50"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在符合现行法律法规前提下，除国家重大战略项目外，仅允许对生态功能不造成破坏的有限人为活动。</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公益林、天然林还需执行国家、自治区以及市县相应法律法规要求。</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130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ZH45022310009</w:t>
            </w:r>
          </w:p>
        </w:tc>
        <w:tc>
          <w:tcPr>
            <w:tcW w:w="2142"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val="en-US" w:eastAsia="zh-CN"/>
              </w:rPr>
            </w:pPr>
            <w:r>
              <w:rPr>
                <w:rFonts w:hint="default" w:eastAsiaTheme="minorEastAsia"/>
                <w:color w:val="auto"/>
                <w:highlight w:val="none"/>
              </w:rPr>
              <w:t>柳州市古偿河饮用水保护区一般生态空间</w:t>
            </w:r>
          </w:p>
        </w:tc>
        <w:tc>
          <w:tcPr>
            <w:tcW w:w="125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cs="Times New Roman" w:eastAsiaTheme="minorEastAsia"/>
                <w:strike w:val="0"/>
                <w:dstrike w:val="0"/>
                <w:color w:val="auto"/>
                <w:highlight w:val="none"/>
                <w:lang w:val="en-US" w:eastAsia="zh-CN"/>
              </w:rPr>
              <w:t>优先保护单元</w:t>
            </w: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strike w:val="0"/>
                <w:dstrike w:val="0"/>
                <w:color w:val="auto"/>
                <w:szCs w:val="21"/>
                <w:highlight w:val="none"/>
              </w:rPr>
              <w:t>空间布局约束</w:t>
            </w:r>
          </w:p>
        </w:tc>
        <w:tc>
          <w:tcPr>
            <w:tcW w:w="8250" w:type="dxa"/>
            <w:shd w:val="clear" w:color="auto" w:fill="auto"/>
            <w:vAlign w:val="center"/>
          </w:tcPr>
          <w:p>
            <w:pPr>
              <w:pStyle w:val="27"/>
              <w:spacing w:after="0"/>
              <w:ind w:firstLine="0" w:firstLineChars="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lang w:val="en-US" w:eastAsia="zh-CN"/>
              </w:rPr>
              <w:t>按照《饮用水水源保护区污染防治管理规定》《中华人民共和国水污染防治法》《广西壮族自治区饮用水水源保护条例》《广西壮族自治区水污染防治条例》等相关法律法规进行管理。</w:t>
            </w:r>
          </w:p>
          <w:p>
            <w:pPr>
              <w:pStyle w:val="27"/>
              <w:spacing w:after="0"/>
              <w:ind w:firstLine="0" w:firstLineChars="0"/>
              <w:rPr>
                <w:rFonts w:hint="default" w:eastAsiaTheme="minorEastAsia"/>
                <w:color w:val="auto"/>
                <w:highlight w:val="none"/>
              </w:rPr>
            </w:pPr>
            <w:r>
              <w:rPr>
                <w:rFonts w:hint="eastAsia" w:eastAsiaTheme="minorEastAsia"/>
                <w:color w:val="auto"/>
                <w:highlight w:val="none"/>
                <w:lang w:val="en-US" w:eastAsia="zh-CN"/>
              </w:rPr>
              <w:t>2</w:t>
            </w:r>
            <w:r>
              <w:rPr>
                <w:rFonts w:hint="default" w:eastAsiaTheme="minorEastAsia"/>
                <w:color w:val="auto"/>
                <w:highlight w:val="none"/>
                <w:lang w:val="en-US" w:eastAsia="zh-CN"/>
              </w:rPr>
              <w:t>．</w:t>
            </w:r>
            <w:r>
              <w:rPr>
                <w:rFonts w:hint="default" w:eastAsiaTheme="minorEastAsia"/>
                <w:color w:val="auto"/>
                <w:highlight w:val="none"/>
              </w:rPr>
              <w:t>生物多样性维护功能极重要区</w:t>
            </w:r>
            <w:r>
              <w:rPr>
                <w:rFonts w:hint="default" w:eastAsiaTheme="minorEastAsia"/>
                <w:color w:val="auto"/>
                <w:highlight w:val="none"/>
                <w:lang w:eastAsia="zh-CN"/>
              </w:rPr>
              <w:t>内</w:t>
            </w:r>
            <w:r>
              <w:rPr>
                <w:rFonts w:hint="default" w:eastAsiaTheme="minorEastAsia"/>
                <w:color w:val="auto"/>
                <w:highlight w:val="none"/>
              </w:rPr>
              <w:t>禁止滥捕、乱采、乱猎野生动植物。保护自然生态系统与重要物种栖息地，禁止无序采矿、毁林开荒、湿地和草地开垦等各种损害栖息地的经济社会活动和生产方式。防止生态建设导致栖息环境的改变。加强对外来物种入侵的控制，禁止在生物多样性保护功能区引进外来物种。加强生物多样性资源调查与监测，保护和修复自然生态系统和重要物种栖息地，实施生物多样性保护工程。</w:t>
            </w:r>
          </w:p>
          <w:p>
            <w:pPr>
              <w:pStyle w:val="27"/>
              <w:spacing w:after="0"/>
              <w:ind w:firstLine="0" w:firstLineChars="0"/>
              <w:rPr>
                <w:rFonts w:hint="default" w:eastAsiaTheme="minorEastAsia"/>
                <w:color w:val="auto"/>
                <w:highlight w:val="none"/>
              </w:rPr>
            </w:pPr>
            <w:r>
              <w:rPr>
                <w:rFonts w:hint="eastAsia" w:eastAsiaTheme="minorEastAsia"/>
                <w:color w:val="auto"/>
                <w:highlight w:val="none"/>
                <w:lang w:val="en-US" w:eastAsia="zh-CN"/>
              </w:rPr>
              <w:t>3</w:t>
            </w:r>
            <w:r>
              <w:rPr>
                <w:rFonts w:hint="default" w:eastAsiaTheme="minorEastAsia"/>
                <w:color w:val="auto"/>
                <w:highlight w:val="none"/>
                <w:lang w:val="en-US" w:eastAsia="zh-CN"/>
              </w:rPr>
              <w:t>．</w:t>
            </w:r>
            <w:r>
              <w:rPr>
                <w:rFonts w:hint="eastAsia" w:eastAsiaTheme="minorEastAsia"/>
                <w:color w:val="auto"/>
                <w:highlight w:val="none"/>
                <w:lang w:eastAsia="zh-CN"/>
              </w:rPr>
              <w:t>水源涵养功能（极）重要区</w:t>
            </w:r>
            <w:r>
              <w:rPr>
                <w:rFonts w:hint="default" w:eastAsiaTheme="minorEastAsia"/>
                <w:color w:val="auto"/>
                <w:highlight w:val="none"/>
                <w:lang w:eastAsia="zh-CN"/>
              </w:rPr>
              <w:t>内</w:t>
            </w:r>
            <w:r>
              <w:rPr>
                <w:rFonts w:hint="default" w:eastAsiaTheme="minorEastAsia"/>
                <w:color w:val="auto"/>
                <w:highlight w:val="none"/>
              </w:rPr>
              <w:t>严格保护具有水源涵养功能的自然植被，禁止过度放牧、无序采矿、毁林开荒，限制或禁止湿地和草地开垦等损害生态系统水源涵养功能的活动。加强生态公益林改造和建设，通过封育恢复自然植被，促使其逐步向常绿阔叶林演化，提高水源涵养的功能；林产业向合理利用与保护建设相结合的生态型林业方向发展，保持森林生长与采伐利用的动态平衡，兼顾生态效益和经济效益，逐步恢复和改善地力；加强水土保持。</w:t>
            </w:r>
          </w:p>
          <w:p>
            <w:pPr>
              <w:pStyle w:val="27"/>
              <w:spacing w:after="0"/>
              <w:ind w:firstLine="0" w:firstLineChars="0"/>
              <w:rPr>
                <w:rFonts w:hint="default" w:eastAsiaTheme="minorEastAsia"/>
                <w:color w:val="auto"/>
                <w:highlight w:val="none"/>
              </w:rPr>
            </w:pPr>
            <w:r>
              <w:rPr>
                <w:rFonts w:hint="eastAsia" w:eastAsiaTheme="minorEastAsia"/>
                <w:color w:val="auto"/>
                <w:highlight w:val="none"/>
                <w:lang w:val="en-US" w:eastAsia="zh-CN"/>
              </w:rPr>
              <w:t>4</w:t>
            </w:r>
            <w:r>
              <w:rPr>
                <w:rFonts w:hint="default" w:eastAsiaTheme="minorEastAsia"/>
                <w:color w:val="auto"/>
                <w:highlight w:val="none"/>
                <w:lang w:val="en-US" w:eastAsia="zh-CN"/>
              </w:rPr>
              <w:t>．</w:t>
            </w:r>
            <w:r>
              <w:rPr>
                <w:rFonts w:hint="default" w:eastAsiaTheme="minorEastAsia"/>
                <w:color w:val="auto"/>
                <w:highlight w:val="none"/>
              </w:rPr>
              <w:t>依据《国家级公益林管理办法》（林资发〔2017〕34号）进行管理，严格控制勘查、开采矿藏和工程建设使用国家级公益林地。确需使用的，严格按照《建设项目使用林地审核审批管理办法》有关规定办理使用林地手续。涉及林木采伐的，按相关规定依法办理林木采伐手续。经审核审批同意使用的国家级公益林地，可按规定实行占补平衡。一级国家级公益林原则上不得开展生产经营活动，严禁打枝、采脂、割漆、剥树皮、掘根等行为。二级国家级公益林在不影响整体森林生态系统功能发挥的前提下，可以按照相关技术规程的规定开展抚育和更新性质的采伐。在不破坏森林植被的前提下，可以合理利用其林地资源，适度开展林下种植养殖和森林游憩等非木质资源开发与利用，科学发展林下经济。</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r>
              <w:rPr>
                <w:rFonts w:hint="eastAsia" w:eastAsiaTheme="minorEastAsia"/>
                <w:color w:val="auto"/>
                <w:highlight w:val="none"/>
                <w:lang w:val="en-US" w:eastAsia="zh-CN"/>
              </w:rPr>
              <w:t>5</w:t>
            </w:r>
            <w:r>
              <w:rPr>
                <w:rFonts w:hint="default" w:eastAsiaTheme="minorEastAsia"/>
                <w:color w:val="auto"/>
                <w:highlight w:val="none"/>
                <w:lang w:val="en-US" w:eastAsia="zh-CN"/>
              </w:rPr>
              <w:t>．</w:t>
            </w:r>
            <w:r>
              <w:rPr>
                <w:rFonts w:hint="default" w:eastAsiaTheme="minorEastAsia"/>
                <w:color w:val="auto"/>
                <w:highlight w:val="none"/>
              </w:rPr>
              <w:t>对所有</w:t>
            </w:r>
            <w:r>
              <w:rPr>
                <w:rFonts w:hint="eastAsia" w:eastAsiaTheme="minorEastAsia"/>
                <w:color w:val="auto"/>
                <w:highlight w:val="none"/>
                <w:lang w:eastAsia="zh-CN"/>
              </w:rPr>
              <w:t>天然林</w:t>
            </w:r>
            <w:r>
              <w:rPr>
                <w:rFonts w:hint="default" w:eastAsiaTheme="minorEastAsia"/>
                <w:color w:val="auto"/>
                <w:highlight w:val="none"/>
              </w:rPr>
              <w:t>实行保护，禁止毁林开垦、将天然林改造为人工林以及其他破坏天然林及其生态环境的行为。对纳入保护重点区域的天然林，除森林病虫害防治、森林防火等维护天然林生态系统健康的必要措施外，禁止其他一切生产经营活动。开展天然林抚育作业的，必须编制作业设计，经林业主管部门审查批准后实施。严格控制天然林地转为其他用途，除国防建设、国家重大工程项目建设特色需要外，禁止占用保护重点区域的天然林地。在不破坏地表植被、不影响生物多样性保护前提下，可在天然林地适度发展生态旅游、休闲康养、特色种植养殖产业。</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3" w:hRule="atLeast"/>
          <w:jc w:val="center"/>
        </w:trPr>
        <w:tc>
          <w:tcPr>
            <w:tcW w:w="130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ZH45022310010</w:t>
            </w:r>
          </w:p>
        </w:tc>
        <w:tc>
          <w:tcPr>
            <w:tcW w:w="2142"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鹿寨县县城饮用水</w:t>
            </w:r>
            <w:r>
              <w:rPr>
                <w:rFonts w:hint="default" w:eastAsiaTheme="minorEastAsia"/>
                <w:color w:val="auto"/>
                <w:highlight w:val="none"/>
                <w:lang w:eastAsia="zh-CN"/>
              </w:rPr>
              <w:t>水源保护区</w:t>
            </w:r>
            <w:r>
              <w:rPr>
                <w:rFonts w:hint="default" w:eastAsiaTheme="minorEastAsia"/>
                <w:color w:val="auto"/>
                <w:highlight w:val="none"/>
              </w:rPr>
              <w:t>一般生态空间</w:t>
            </w:r>
          </w:p>
        </w:tc>
        <w:tc>
          <w:tcPr>
            <w:tcW w:w="125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50" w:type="dxa"/>
            <w:shd w:val="clear" w:color="auto" w:fill="auto"/>
            <w:vAlign w:val="center"/>
          </w:tcPr>
          <w:p>
            <w:pPr>
              <w:pStyle w:val="27"/>
              <w:numPr>
                <w:ilvl w:val="0"/>
                <w:numId w:val="0"/>
              </w:numPr>
              <w:ind w:firstLine="0" w:firstLineChars="0"/>
              <w:rPr>
                <w:rFonts w:hint="default" w:eastAsiaTheme="minorEastAsia"/>
                <w:color w:val="auto"/>
                <w:highlight w:val="none"/>
                <w:lang w:val="en-US" w:eastAsia="zh-CN"/>
              </w:rPr>
            </w:pPr>
            <w:r>
              <w:rPr>
                <w:rFonts w:hint="default" w:ascii="Times New Roman" w:hAnsi="Times New Roman" w:cs="Times New Roman" w:eastAsiaTheme="minorEastAsia"/>
                <w:color w:val="auto"/>
                <w:highlight w:val="none"/>
              </w:rPr>
              <w:t>1</w:t>
            </w:r>
            <w:r>
              <w:rPr>
                <w:rFonts w:hint="default" w:cs="Times New Roman" w:eastAsiaTheme="minorEastAsia"/>
                <w:color w:val="auto"/>
                <w:highlight w:val="none"/>
                <w:lang w:eastAsia="zh-CN"/>
              </w:rPr>
              <w:t>．</w:t>
            </w:r>
            <w:r>
              <w:rPr>
                <w:rFonts w:hint="default" w:eastAsiaTheme="minorEastAsia"/>
                <w:color w:val="auto"/>
                <w:highlight w:val="none"/>
                <w:lang w:val="en-US" w:eastAsia="zh-CN"/>
              </w:rPr>
              <w:t>按照《饮用水水源保护区污染防治管理规定》《中华人民共和国水污染防治法》《广西壮族自治区饮用水水源保护条例》《广西壮族自治区水污染防治条例》等相关法律法规进行管理。</w:t>
            </w:r>
          </w:p>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eastAsia" w:cs="Times New Roman" w:eastAsiaTheme="minorEastAsia"/>
                <w:color w:val="auto"/>
                <w:highlight w:val="none"/>
                <w:lang w:val="en-US" w:eastAsia="zh-CN"/>
              </w:rPr>
              <w:t>2</w:t>
            </w:r>
            <w:r>
              <w:rPr>
                <w:rFonts w:hint="default" w:cs="Times New Roman" w:eastAsiaTheme="minorEastAsia"/>
                <w:color w:val="auto"/>
                <w:highlight w:val="none"/>
                <w:lang w:val="en-US" w:eastAsia="zh-CN"/>
              </w:rPr>
              <w:t>．</w:t>
            </w:r>
            <w:r>
              <w:rPr>
                <w:rFonts w:hint="default" w:ascii="Times New Roman" w:hAnsi="Times New Roman" w:cs="Times New Roman" w:eastAsiaTheme="minorEastAsia"/>
                <w:color w:val="auto"/>
                <w:highlight w:val="none"/>
              </w:rPr>
              <w:t>对所有</w:t>
            </w:r>
            <w:r>
              <w:rPr>
                <w:rFonts w:hint="eastAsia" w:cs="Times New Roman" w:eastAsiaTheme="minorEastAsia"/>
                <w:color w:val="auto"/>
                <w:highlight w:val="none"/>
                <w:lang w:eastAsia="zh-CN"/>
              </w:rPr>
              <w:t>天然林</w:t>
            </w:r>
            <w:r>
              <w:rPr>
                <w:rFonts w:hint="default" w:ascii="Times New Roman" w:hAnsi="Times New Roman" w:cs="Times New Roman" w:eastAsiaTheme="minorEastAsia"/>
                <w:color w:val="auto"/>
                <w:highlight w:val="none"/>
              </w:rPr>
              <w:t>实行保护，禁止毁林开垦、将天然林改造为人工林以及其他破坏天然林及其生态环境的行为。对纳入保护重点区域的天然林，除森林病虫害防治、森林防火等维护天然林生态系统健康的必要措施外，禁止其他一切生产经营活动。开展天然林抚育作业的，必须编制作业设计，经林业主管部门审查批准后实施。严格控制天然林地转为其他用途，除国防建设、国家重大工程项目建设特色需要外，禁止占用保护重点区域的天然林地。在不破坏地表植被、不影响生物多样性保护前提下，可在天然林地适度发展生态旅游、休闲康养、特色种植养殖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jc w:val="center"/>
        </w:trPr>
        <w:tc>
          <w:tcPr>
            <w:tcW w:w="130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ZH45022310011</w:t>
            </w:r>
          </w:p>
        </w:tc>
        <w:tc>
          <w:tcPr>
            <w:tcW w:w="2142"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rPr>
            </w:pPr>
            <w:r>
              <w:rPr>
                <w:rFonts w:hint="default" w:eastAsiaTheme="minorEastAsia"/>
                <w:color w:val="auto"/>
                <w:highlight w:val="none"/>
              </w:rPr>
              <w:t>鹿寨县其他优先保护单元</w:t>
            </w:r>
          </w:p>
        </w:tc>
        <w:tc>
          <w:tcPr>
            <w:tcW w:w="125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50" w:type="dxa"/>
            <w:shd w:val="clear" w:color="auto" w:fill="auto"/>
            <w:vAlign w:val="center"/>
          </w:tcPr>
          <w:p>
            <w:pPr>
              <w:pStyle w:val="27"/>
              <w:ind w:firstLine="0" w:firstLineChars="0"/>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1</w:t>
            </w:r>
            <w:r>
              <w:rPr>
                <w:rFonts w:hint="default" w:cs="Times New Roman" w:eastAsiaTheme="minorEastAsia"/>
                <w:color w:val="auto"/>
                <w:highlight w:val="none"/>
                <w:lang w:eastAsia="zh-CN"/>
              </w:rPr>
              <w:t>．除符合国土空间规划建设和布局要求，以及市级以上矿产资源总体规划、能源开发利用规划、线性工程规划外，原则上按限制开发区域的要求进行管理。</w:t>
            </w:r>
          </w:p>
          <w:p>
            <w:pPr>
              <w:pStyle w:val="27"/>
              <w:ind w:firstLine="0" w:firstLineChars="0"/>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2</w:t>
            </w:r>
            <w:r>
              <w:rPr>
                <w:rFonts w:hint="default" w:cs="Times New Roman" w:eastAsiaTheme="minorEastAsia"/>
                <w:color w:val="auto"/>
                <w:highlight w:val="none"/>
                <w:lang w:eastAsia="zh-CN"/>
              </w:rPr>
              <w:t>．</w:t>
            </w:r>
            <w:r>
              <w:rPr>
                <w:rFonts w:hint="default" w:ascii="Times New Roman" w:hAnsi="Times New Roman" w:cs="Times New Roman" w:eastAsiaTheme="minorEastAsia"/>
                <w:color w:val="auto"/>
                <w:highlight w:val="none"/>
              </w:rPr>
              <w:t>矿产资源开发活动、新能源建设项目以及线性工程项目等要符合法律法规以及主体功能区规划、生态功能区划、环境保护总体规划、行业规划等规划要求，不得破坏生态、降低环境质量。要优化项目选址布局，严格控制开采量和开采区域，减少对生态空间的占用，不影响区域主导生态功能。要采取更加严格和有效的预防和保护措施，避免和减轻开发活动造成的生态破坏和环境污染。要严格落实项目环评的跟踪监测计划，项目开采（开工）、闭矿、跟踪监测要及时向所在地生态环境部门进行报备。加强矿山开采项目及其闭矿的环保督察，开展矿山区域生态环境质量飞行抽检。乡村振兴项目建设的审批简化和豁免要符合有关规定，不得影响区域主导生态功能、降低区域生态环境质量。</w:t>
            </w:r>
          </w:p>
          <w:p>
            <w:pPr>
              <w:pStyle w:val="27"/>
              <w:ind w:firstLine="0" w:firstLineChars="0"/>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lang w:val="en-US" w:eastAsia="zh-CN"/>
              </w:rPr>
              <w:t>3</w:t>
            </w:r>
            <w:r>
              <w:rPr>
                <w:rFonts w:hint="default" w:cs="Times New Roman" w:eastAsiaTheme="minorEastAsia"/>
                <w:color w:val="auto"/>
                <w:highlight w:val="none"/>
                <w:lang w:val="en-US" w:eastAsia="zh-CN"/>
              </w:rPr>
              <w:t>．</w:t>
            </w:r>
            <w:r>
              <w:rPr>
                <w:rFonts w:hint="default" w:ascii="Times New Roman" w:hAnsi="Times New Roman" w:cs="Times New Roman" w:eastAsiaTheme="minorEastAsia"/>
                <w:color w:val="auto"/>
                <w:highlight w:val="none"/>
              </w:rPr>
              <w:t>（极）重度石漠化区</w:t>
            </w:r>
            <w:r>
              <w:rPr>
                <w:rFonts w:hint="default" w:ascii="Times New Roman" w:hAnsi="Times New Roman" w:cs="Times New Roman" w:eastAsiaTheme="minorEastAsia"/>
                <w:color w:val="auto"/>
                <w:highlight w:val="none"/>
                <w:lang w:eastAsia="zh-CN"/>
              </w:rPr>
              <w:t>内</w:t>
            </w:r>
            <w:r>
              <w:rPr>
                <w:rFonts w:hint="default" w:ascii="Times New Roman" w:hAnsi="Times New Roman" w:cs="Times New Roman" w:eastAsiaTheme="minorEastAsia"/>
                <w:color w:val="auto"/>
                <w:highlight w:val="none"/>
              </w:rPr>
              <w:t>严禁陡坡垦殖、过度放牧、乱砍滥伐树木等损害水土保持功能的活动。禁止在崩塌、滑坡危险区和泥石流易发区从事取土、挖砂、采石等可能造成水土流失的活动。控制人为造成新增水土流失的资源开发和建设项目等损害水土保持功能的活动。加强石漠化综合治理，通过保护天然林、封山育林、退耕还林、小流域治理、农村生态能源建设、改变耕作方式、草食动物舍饲圈养、生态扶贫和生态移民等措施，恢复自然植被，提高水源涵养和水土保持能力。</w:t>
            </w:r>
          </w:p>
          <w:p>
            <w:pPr>
              <w:pStyle w:val="27"/>
              <w:ind w:firstLine="0" w:firstLineChars="0"/>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lang w:val="en-US" w:eastAsia="zh-CN"/>
              </w:rPr>
              <w:t>4</w:t>
            </w:r>
            <w:r>
              <w:rPr>
                <w:rFonts w:hint="default" w:cs="Times New Roman" w:eastAsiaTheme="minorEastAsia"/>
                <w:color w:val="auto"/>
                <w:highlight w:val="none"/>
                <w:lang w:val="en-US" w:eastAsia="zh-CN"/>
              </w:rPr>
              <w:t>．</w:t>
            </w:r>
            <w:r>
              <w:rPr>
                <w:rFonts w:hint="default" w:ascii="Times New Roman" w:hAnsi="Times New Roman" w:cs="Times New Roman" w:eastAsiaTheme="minorEastAsia"/>
                <w:color w:val="auto"/>
                <w:highlight w:val="none"/>
              </w:rPr>
              <w:t>生物多样性维护功能极重要区</w:t>
            </w:r>
            <w:r>
              <w:rPr>
                <w:rFonts w:hint="default" w:ascii="Times New Roman" w:hAnsi="Times New Roman" w:cs="Times New Roman" w:eastAsiaTheme="minorEastAsia"/>
                <w:color w:val="auto"/>
                <w:highlight w:val="none"/>
                <w:lang w:eastAsia="zh-CN"/>
              </w:rPr>
              <w:t>内</w:t>
            </w:r>
            <w:r>
              <w:rPr>
                <w:rFonts w:hint="default" w:ascii="Times New Roman" w:hAnsi="Times New Roman" w:cs="Times New Roman" w:eastAsiaTheme="minorEastAsia"/>
                <w:color w:val="auto"/>
                <w:highlight w:val="none"/>
              </w:rPr>
              <w:t>禁止滥捕、乱采、乱猎野生动植物。保护自然生态系统与重要物种栖息地，禁止无序采矿、毁林开荒、湿地和草地开垦等各种损害栖息地的经济社会活动和生产方式。防止生态建设导致栖息环境的改变。加强对外来物种入侵的控制，禁止在生物多样性保护功能区引进外来物种。加强生物多样性资源调查与监测，保护和修复自然生态系统和重要物种栖息地，实施生物多样性保护工程。</w:t>
            </w:r>
          </w:p>
          <w:p>
            <w:pPr>
              <w:pStyle w:val="27"/>
              <w:ind w:firstLine="0" w:firstLineChars="0"/>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lang w:val="en-US" w:eastAsia="zh-CN"/>
              </w:rPr>
              <w:t>5</w:t>
            </w:r>
            <w:r>
              <w:rPr>
                <w:rFonts w:hint="default" w:cs="Times New Roman" w:eastAsiaTheme="minorEastAsia"/>
                <w:color w:val="auto"/>
                <w:highlight w:val="none"/>
                <w:lang w:val="en-US" w:eastAsia="zh-CN"/>
              </w:rPr>
              <w:t>．</w:t>
            </w:r>
            <w:r>
              <w:rPr>
                <w:rFonts w:hint="eastAsia" w:cs="Times New Roman" w:eastAsiaTheme="minorEastAsia"/>
                <w:color w:val="auto"/>
                <w:highlight w:val="none"/>
                <w:lang w:eastAsia="zh-CN"/>
              </w:rPr>
              <w:t>水源涵养功能（极）重要区</w:t>
            </w:r>
            <w:r>
              <w:rPr>
                <w:rFonts w:hint="default" w:ascii="Times New Roman" w:hAnsi="Times New Roman" w:cs="Times New Roman" w:eastAsiaTheme="minorEastAsia"/>
                <w:color w:val="auto"/>
                <w:highlight w:val="none"/>
                <w:lang w:eastAsia="zh-CN"/>
              </w:rPr>
              <w:t>内</w:t>
            </w:r>
            <w:r>
              <w:rPr>
                <w:rFonts w:hint="default" w:ascii="Times New Roman" w:hAnsi="Times New Roman" w:cs="Times New Roman" w:eastAsiaTheme="minorEastAsia"/>
                <w:color w:val="auto"/>
                <w:highlight w:val="none"/>
              </w:rPr>
              <w:t>严格保护具有水源涵养功能的自然植被，禁止过度放牧、无序采矿、毁林开荒，限制或禁止湿地和草地开垦等损害生态系统水源涵养功能的活动。加强生态公益林改造和建设，通过封育恢复自然植被，促使其逐步向常绿阔叶林演化，提高水源涵养的功能；林产业向合理利用与保护建设相结合的生态型林业方向发展，保持森林生长与采伐利用的动态平衡，兼顾生态效益和经济效益，逐步恢复和改善地力；加强水土保持。</w:t>
            </w:r>
          </w:p>
          <w:p>
            <w:pPr>
              <w:pStyle w:val="27"/>
              <w:ind w:firstLine="0" w:firstLineChars="0"/>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lang w:val="en-US" w:eastAsia="zh-CN"/>
              </w:rPr>
              <w:t>6</w:t>
            </w:r>
            <w:r>
              <w:rPr>
                <w:rFonts w:hint="default" w:cs="Times New Roman" w:eastAsiaTheme="minorEastAsia"/>
                <w:color w:val="auto"/>
                <w:highlight w:val="none"/>
                <w:lang w:val="en-US" w:eastAsia="zh-CN"/>
              </w:rPr>
              <w:t>．</w:t>
            </w:r>
            <w:r>
              <w:rPr>
                <w:rFonts w:hint="default" w:ascii="Times New Roman" w:hAnsi="Times New Roman" w:cs="Times New Roman" w:eastAsiaTheme="minorEastAsia"/>
                <w:color w:val="auto"/>
                <w:highlight w:val="none"/>
              </w:rPr>
              <w:t>依据《国家级公益林管理办法》（林资发〔2017〕34号）进行管理，严格控制勘查、开采矿藏和工程建设使用国家级公益林地。确需使用的，严格按照《建设项目使用林地审核审批管理办法》有关规定办理使用林地手续。涉及林木采伐的，按相关规定依法办理林木采伐手续。经审核审批同意使用的国家级公益林地，可按规定实行占补平衡。一级国家级公益林原则上不得开展生产经营活动，严禁打枝、采脂、割漆、剥树皮、掘根等行为。二级国家级公益林在不影响整体森林生态系统功能发挥的前提下，可以按照相关技术规程的规定开展抚育和更新性质的采伐。在不破坏森林植被的前提下，可以合理利用其林地资源，适度开展林下种植养殖和森林游憩等非木质资源开发与利用，科学发展林下经济。</w:t>
            </w:r>
          </w:p>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color w:val="auto"/>
                <w:highlight w:val="none"/>
                <w:lang w:val="en-US" w:eastAsia="zh-CN"/>
              </w:rPr>
              <w:t>7</w:t>
            </w:r>
            <w:r>
              <w:rPr>
                <w:rFonts w:hint="default" w:cs="Times New Roman" w:eastAsiaTheme="minorEastAsia"/>
                <w:color w:val="auto"/>
                <w:highlight w:val="none"/>
                <w:lang w:val="en-US" w:eastAsia="zh-CN"/>
              </w:rPr>
              <w:t>．</w:t>
            </w:r>
            <w:r>
              <w:rPr>
                <w:rFonts w:hint="default" w:ascii="Times New Roman" w:hAnsi="Times New Roman" w:cs="Times New Roman" w:eastAsiaTheme="minorEastAsia"/>
                <w:color w:val="auto"/>
                <w:highlight w:val="none"/>
              </w:rPr>
              <w:t>对所有</w:t>
            </w:r>
            <w:r>
              <w:rPr>
                <w:rFonts w:hint="eastAsia" w:cs="Times New Roman" w:eastAsiaTheme="minorEastAsia"/>
                <w:color w:val="auto"/>
                <w:highlight w:val="none"/>
                <w:lang w:eastAsia="zh-CN"/>
              </w:rPr>
              <w:t>天然林</w:t>
            </w:r>
            <w:r>
              <w:rPr>
                <w:rFonts w:hint="default" w:ascii="Times New Roman" w:hAnsi="Times New Roman" w:cs="Times New Roman" w:eastAsiaTheme="minorEastAsia"/>
                <w:color w:val="auto"/>
                <w:highlight w:val="none"/>
              </w:rPr>
              <w:t>实行保护，禁止毁林开垦、将天然林改造为人工林以及其他破坏天然林及其生态环境的行为。对纳入保护重点区域的天然林，除森林病虫害防治、森林防火等维护天然林生态系统健康的必要措施外，禁止其他一切生产经营活动。开展天然林抚育作业的，必须编制作业设计，经林业主管部门审查批准后实施。严格控制天然林地转为其他用途，除国防建设、国家重大工程项目建设特色需要外，禁止占用保护重点区域的天然林地。在不破坏地表植被、不影响生物多样性保护前提下，可在天然林地适度发展生态旅游、休闲康养、特色种植养殖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9" w:hRule="atLeast"/>
          <w:jc w:val="center"/>
        </w:trPr>
        <w:tc>
          <w:tcPr>
            <w:tcW w:w="1307"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ZH45022320001</w:t>
            </w:r>
          </w:p>
        </w:tc>
        <w:tc>
          <w:tcPr>
            <w:tcW w:w="2142"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commentRangeStart w:id="15"/>
            <w:r>
              <w:rPr>
                <w:rFonts w:hint="default" w:eastAsiaTheme="minorEastAsia"/>
                <w:color w:val="auto"/>
                <w:highlight w:val="none"/>
              </w:rPr>
              <w:t>广西鹿寨经济开发区重点管控单元</w:t>
            </w:r>
            <w:commentRangeEnd w:id="15"/>
            <w:r>
              <w:rPr>
                <w:highlight w:val="none"/>
              </w:rPr>
              <w:commentReference w:id="15"/>
            </w:r>
          </w:p>
        </w:tc>
        <w:tc>
          <w:tcPr>
            <w:tcW w:w="1253"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50" w:type="dxa"/>
            <w:shd w:val="clear" w:color="auto" w:fill="auto"/>
            <w:vAlign w:val="center"/>
          </w:tcPr>
          <w:p>
            <w:pPr>
              <w:pStyle w:val="27"/>
              <w:numPr>
                <w:ilvl w:val="0"/>
                <w:numId w:val="0"/>
              </w:numPr>
              <w:spacing w:line="240" w:lineRule="auto"/>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1．</w:t>
            </w:r>
            <w:r>
              <w:rPr>
                <w:rFonts w:hint="default" w:ascii="Times New Roman" w:hAnsi="Times New Roman" w:eastAsia="宋体" w:cs="Times New Roman"/>
                <w:strike w:val="0"/>
                <w:dstrike w:val="0"/>
                <w:color w:val="auto"/>
                <w:sz w:val="21"/>
                <w:szCs w:val="21"/>
                <w:highlight w:val="none"/>
              </w:rPr>
              <w:t>入园项目必须符合国家、自治区产业政策、供地政策及园区产业定位。</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居住用地周边严控布局潜在污染扰民和环境风险突出的建设项目。化工、制糖、造纸、缫丝纺织类项目应优先考虑在中心工业园</w:t>
            </w:r>
            <w:r>
              <w:rPr>
                <w:rFonts w:hint="default" w:ascii="Times New Roman" w:hAnsi="Times New Roman" w:eastAsia="方正小标宋" w:cs="Times New Roman"/>
                <w:color w:val="auto"/>
                <w:highlight w:val="none"/>
                <w:lang w:val="en-US" w:eastAsia="zh-CN"/>
              </w:rPr>
              <w:t>布局</w:t>
            </w:r>
            <w:r>
              <w:rPr>
                <w:rFonts w:hint="default" w:ascii="Times New Roman" w:hAnsi="Times New Roman" w:cs="Times New Roman" w:eastAsiaTheme="minorEastAsia"/>
                <w:strike w:val="0"/>
                <w:dstrike w:val="0"/>
                <w:color w:val="auto"/>
                <w:highlight w:val="none"/>
              </w:rPr>
              <w:t>，远离鹿寨县城；建材企业应远离居民区。制药、食品类项目应与重污染项目保持适当的防护距离。</w:t>
            </w:r>
          </w:p>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江口工业园规划期内的建设方案应与生态红线协调，不得侵占生态红线范围。若江口工业园与划定的生态红线存在冲突，应对规划方案实施退让调整。</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严禁随意调整用地范围和布局，占用生态公益林；高新区核心区内，湘桂铁路、322国道两旁第一层山脊以内的林地，作为柳州市及鹿寨县的通道生态屏障加以保护。</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5</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严格保护洛清江、石榴河和柳江的水域及两岸生态环境，严禁施工占地肆意破坏现状环境，避免水土流失。</w:t>
            </w:r>
          </w:p>
          <w:p>
            <w:pPr>
              <w:pStyle w:val="27"/>
              <w:keepNext w:val="0"/>
              <w:keepLines w:val="0"/>
              <w:numPr>
                <w:ilvl w:val="0"/>
                <w:numId w:val="0"/>
              </w:numPr>
              <w:suppressLineNumbers w:val="0"/>
              <w:spacing w:before="0" w:beforeAutospacing="0" w:after="0" w:afterAutospacing="0"/>
              <w:ind w:right="0" w:rightChars="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6</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新建大气污染物排放的工业项目，原则上应当进入工业园区或者工业集聚区；加快布局分散的企业向园区集中。</w:t>
            </w:r>
          </w:p>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7</w:t>
            </w:r>
            <w:r>
              <w:rPr>
                <w:rFonts w:hint="default" w:ascii="Times New Roman" w:hAnsi="Times New Roman" w:cs="Times New Roman" w:eastAsiaTheme="minorEastAsia"/>
                <w:strike w:val="0"/>
                <w:dstrike w:val="0"/>
                <w:color w:val="auto"/>
                <w:highlight w:val="none"/>
                <w:lang w:eastAsia="zh-CN"/>
              </w:rPr>
              <w:t>．</w:t>
            </w:r>
            <w:r>
              <w:rPr>
                <w:rFonts w:hint="default" w:cs="Times New Roman" w:eastAsiaTheme="minorEastAsia"/>
                <w:strike w:val="0"/>
                <w:dstrike w:val="0"/>
                <w:color w:val="auto"/>
                <w:highlight w:val="none"/>
                <w:lang w:val="en-US" w:eastAsia="zh-CN"/>
              </w:rPr>
              <w:t>产业园</w:t>
            </w:r>
            <w:r>
              <w:rPr>
                <w:rFonts w:hint="default" w:ascii="Times New Roman" w:hAnsi="Times New Roman" w:cs="Times New Roman" w:eastAsiaTheme="minorEastAsia"/>
                <w:strike w:val="0"/>
                <w:dstrike w:val="0"/>
                <w:color w:val="auto"/>
                <w:highlight w:val="none"/>
                <w:lang w:val="en-US" w:eastAsia="zh-CN"/>
              </w:rPr>
              <w:t>区管理机构应将规划环评结论及审查意见落实到规划中，负责统筹区域内生态环境基础设施建设，不得引入不符合规划环评结论及审查意见的项目入园。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8" w:hRule="atLeast"/>
          <w:jc w:val="center"/>
        </w:trPr>
        <w:tc>
          <w:tcPr>
            <w:tcW w:w="130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142"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3"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250" w:type="dxa"/>
            <w:shd w:val="clear" w:color="auto" w:fill="auto"/>
            <w:vAlign w:val="center"/>
          </w:tcPr>
          <w:p>
            <w:pPr>
              <w:pStyle w:val="27"/>
              <w:keepNext w:val="0"/>
              <w:keepLines w:val="0"/>
              <w:numPr>
                <w:ilvl w:val="0"/>
                <w:numId w:val="0"/>
              </w:numPr>
              <w:suppressLineNumbers w:val="0"/>
              <w:spacing w:before="0" w:beforeAutospacing="0" w:after="0" w:afterAutospacing="0"/>
              <w:ind w:right="0" w:rightChars="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深化园区工业污染治理，持续推进工业污染源全面达标排放，开展烟气高效脱硫脱硝</w:t>
            </w:r>
            <w:r>
              <w:rPr>
                <w:rFonts w:hint="default" w:cs="Times New Roman" w:eastAsiaTheme="minorEastAsia"/>
                <w:strike w:val="0"/>
                <w:dstrike w:val="0"/>
                <w:color w:val="auto"/>
                <w:highlight w:val="none"/>
                <w:lang w:val="en-US" w:eastAsia="zh-CN"/>
              </w:rPr>
              <w:t>、</w:t>
            </w:r>
            <w:r>
              <w:rPr>
                <w:rFonts w:hint="default" w:ascii="Times New Roman" w:hAnsi="Times New Roman" w:cs="Times New Roman" w:eastAsiaTheme="minorEastAsia"/>
                <w:strike w:val="0"/>
                <w:dstrike w:val="0"/>
                <w:color w:val="auto"/>
                <w:highlight w:val="none"/>
                <w:lang w:val="en-US" w:eastAsia="zh-CN"/>
              </w:rPr>
              <w:t>除尘改造。推进各类园区技术、工艺、设备等生态化、循环化改造，积极推广园区集中供热。强化园区堆场扬尘控制。推动重点行业VOCs的排放管控，加强VOCs排放企业源头控制。</w:t>
            </w:r>
          </w:p>
          <w:p>
            <w:pPr>
              <w:pStyle w:val="27"/>
              <w:keepNext w:val="0"/>
              <w:keepLines w:val="0"/>
              <w:numPr>
                <w:ilvl w:val="0"/>
                <w:numId w:val="0"/>
              </w:numPr>
              <w:suppressLineNumbers w:val="0"/>
              <w:spacing w:before="0" w:beforeAutospacing="0" w:after="0" w:afterAutospacing="0"/>
              <w:ind w:right="0" w:rightChars="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逐步完成工业集聚区集中式污水处理设施建设，确保已建污水处理设施稳定运行及达标排放。园区集中式污水处理设施总排口安装自动监控系统、视频监控系统，并与生态环境主管部门联网。按照“清污分流、雨污分流”原则，实施废水分类收集、分质处理。</w:t>
            </w:r>
          </w:p>
          <w:p>
            <w:pPr>
              <w:pStyle w:val="27"/>
              <w:keepNext w:val="0"/>
              <w:keepLines w:val="0"/>
              <w:numPr>
                <w:ilvl w:val="0"/>
                <w:numId w:val="0"/>
              </w:numPr>
              <w:suppressLineNumbers w:val="0"/>
              <w:spacing w:before="0" w:beforeAutospacing="0" w:after="0" w:afterAutospacing="0"/>
              <w:ind w:leftChars="0" w:right="0" w:rightChars="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rPr>
              <w:t>园区及园区企业排放水污染物，要满足国家或者地方规定的水污染物排放标准和重点水污染物排放总量控制指标。直接外排水环境的，执行国家或者地方规定的标准要求；经城镇污水集中处理设施处理后排放的，执行市政部门管理要求；经园区污水集中处理设施处理后排放的，执行园区管理部门相关要求。</w:t>
            </w:r>
          </w:p>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5．</w:t>
            </w:r>
            <w:r>
              <w:rPr>
                <w:rFonts w:hint="default" w:eastAsiaTheme="minorEastAsia"/>
                <w:color w:val="auto"/>
                <w:highlight w:val="none"/>
              </w:rPr>
              <w:t>2025年，</w:t>
            </w:r>
            <w:r>
              <w:rPr>
                <w:rFonts w:hint="default" w:eastAsiaTheme="minorEastAsia"/>
                <w:b w:val="0"/>
                <w:color w:val="auto"/>
                <w:highlight w:val="none"/>
              </w:rPr>
              <w:t>脚板洲</w:t>
            </w:r>
            <w:r>
              <w:rPr>
                <w:rFonts w:hint="default" w:eastAsiaTheme="minorEastAsia"/>
                <w:color w:val="auto"/>
                <w:highlight w:val="none"/>
              </w:rPr>
              <w:t>国考断面</w:t>
            </w:r>
            <w:r>
              <w:rPr>
                <w:rFonts w:ascii="Times New Roman" w:hAnsi="Times New Roman" w:cs="Times New Roman" w:eastAsiaTheme="minorEastAsia"/>
                <w:color w:val="auto"/>
                <w:sz w:val="21"/>
                <w:szCs w:val="21"/>
                <w:highlight w:val="none"/>
              </w:rPr>
              <w:t>水质</w:t>
            </w:r>
            <w:r>
              <w:rPr>
                <w:rFonts w:hint="eastAsia" w:cs="Times New Roman" w:eastAsiaTheme="minorEastAsia"/>
                <w:color w:val="auto"/>
                <w:sz w:val="21"/>
                <w:szCs w:val="21"/>
                <w:highlight w:val="none"/>
                <w:lang w:eastAsia="zh-CN"/>
              </w:rPr>
              <w:t>拟执行Ⅲ类标准，最终以国家下达为准</w:t>
            </w:r>
            <w:r>
              <w:rPr>
                <w:rFonts w:hint="default" w:cs="Times New Roman" w:eastAsiaTheme="minor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7" w:hRule="atLeast"/>
          <w:jc w:val="center"/>
        </w:trPr>
        <w:tc>
          <w:tcPr>
            <w:tcW w:w="130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142"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3"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250"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开展环境风险评估，制定突发环境事件应急预案并备案，配备应急能力和物资，建设环境应急队伍，并定期演练。企业、园区与地方人民政府环境应急预案应当有机衔接。</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土壤污染重点监管单位应当严格控制有毒有害物质排放，并按年度向所在地设区的市人民政府生态环境主管部门报告排放情况；建立土壤污染隐患排查制度，保证持续有效防止有毒有害物质渗漏、流失、扬散。</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0" w:hRule="atLeast"/>
          <w:jc w:val="center"/>
        </w:trPr>
        <w:tc>
          <w:tcPr>
            <w:tcW w:w="1307"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ZH45022320002</w:t>
            </w:r>
          </w:p>
        </w:tc>
        <w:tc>
          <w:tcPr>
            <w:tcW w:w="2142"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commentRangeStart w:id="16"/>
            <w:r>
              <w:rPr>
                <w:rFonts w:hint="default" w:eastAsiaTheme="minorEastAsia"/>
                <w:color w:val="auto"/>
                <w:highlight w:val="none"/>
              </w:rPr>
              <w:t>鹿寨县城镇空间重点管控单元</w:t>
            </w:r>
            <w:commentRangeEnd w:id="16"/>
            <w:r>
              <w:rPr>
                <w:highlight w:val="none"/>
              </w:rPr>
              <w:commentReference w:id="16"/>
            </w:r>
          </w:p>
        </w:tc>
        <w:tc>
          <w:tcPr>
            <w:tcW w:w="1253"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50" w:type="dxa"/>
            <w:shd w:val="clear" w:color="auto" w:fill="auto"/>
            <w:vAlign w:val="center"/>
          </w:tcPr>
          <w:p>
            <w:pPr>
              <w:pStyle w:val="27"/>
              <w:keepNext w:val="0"/>
              <w:keepLines w:val="0"/>
              <w:suppressLineNumbers w:val="0"/>
              <w:spacing w:before="0" w:beforeAutospacing="0" w:after="0" w:afterAutospacing="0"/>
              <w:ind w:left="0" w:right="0"/>
              <w:rPr>
                <w:rFonts w:hint="default" w:cs="Times New Roman" w:eastAsiaTheme="minorEastAsia"/>
                <w:strike w:val="0"/>
                <w:dstrike w:val="0"/>
                <w:color w:val="auto"/>
                <w:highlight w:val="none"/>
                <w:lang w:val="en-US" w:eastAsia="zh-CN"/>
              </w:rPr>
            </w:pPr>
            <w:r>
              <w:rPr>
                <w:rFonts w:hint="eastAsia"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．城市建成区内的钢铁、石油、化工、有色金属、水泥、平板玻璃、建筑陶瓷、砖瓦等行业中的高排放、高污染项目，应当逐步进行搬迁、改造或者转型、退出。</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．城市市区、镇和村庄居民区、文化教育科学研究区等人口集中区域禁止设置畜禽养殖场、养殖小区。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8" w:hRule="atLeast"/>
          <w:jc w:val="center"/>
        </w:trPr>
        <w:tc>
          <w:tcPr>
            <w:tcW w:w="130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142"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3"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250"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lang w:val="en-US" w:eastAsia="zh-CN"/>
              </w:rPr>
            </w:pPr>
            <w:r>
              <w:rPr>
                <w:rFonts w:hint="default" w:eastAsiaTheme="minorEastAsia"/>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lang w:val="en-US" w:eastAsia="zh-CN"/>
              </w:rPr>
              <w:t>加大燃煤小锅炉淘汰力度。依法依规加快淘汰老旧柴油货车。严格控制施工和道路扬尘污染。禁止露天焚烧</w:t>
            </w:r>
            <w:r>
              <w:rPr>
                <w:rFonts w:hint="default" w:ascii="Times New Roman" w:hAnsi="Times New Roman" w:cs="Times New Roman" w:eastAsiaTheme="minorEastAsia"/>
                <w:strike w:val="0"/>
                <w:dstrike w:val="0"/>
                <w:color w:val="auto"/>
                <w:highlight w:val="none"/>
                <w:lang w:val="en-US" w:eastAsia="zh-CN"/>
              </w:rPr>
              <w:t>产生</w:t>
            </w:r>
            <w:r>
              <w:rPr>
                <w:rFonts w:hint="default" w:eastAsiaTheme="minorEastAsia"/>
                <w:color w:val="auto"/>
                <w:highlight w:val="none"/>
                <w:lang w:val="en-US" w:eastAsia="zh-CN"/>
              </w:rPr>
              <w:t>有毒有害烟尘和恶臭气体的物质。鼓励建筑装修、汽修喷涂作业、干洗等行业，使用低毒、低挥发性溶剂。</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cs="Times New Roman" w:eastAsiaTheme="minorEastAsia"/>
                <w:strike w:val="0"/>
                <w:dstrike w:val="0"/>
                <w:color w:val="auto"/>
                <w:highlight w:val="none"/>
                <w:lang w:eastAsia="zh-CN"/>
              </w:rPr>
              <w:t>城市建成区基本</w:t>
            </w:r>
            <w:r>
              <w:rPr>
                <w:rFonts w:hint="default" w:ascii="Times New Roman" w:hAnsi="Times New Roman" w:cs="Times New Roman" w:eastAsiaTheme="minorEastAsia"/>
                <w:strike w:val="0"/>
                <w:dstrike w:val="0"/>
                <w:color w:val="auto"/>
                <w:highlight w:val="none"/>
                <w:lang w:eastAsia="zh-CN"/>
              </w:rPr>
              <w:t>消除生活污水直排口，有效杜绝污水直排水体。</w:t>
            </w:r>
          </w:p>
          <w:p>
            <w:pPr>
              <w:pStyle w:val="27"/>
              <w:keepNext w:val="0"/>
              <w:keepLines w:val="0"/>
              <w:numPr>
                <w:ilvl w:val="0"/>
                <w:numId w:val="0"/>
              </w:numPr>
              <w:suppressLineNumbers w:val="0"/>
              <w:spacing w:before="0" w:beforeAutospacing="0" w:after="0" w:afterAutospacing="0"/>
              <w:ind w:left="0" w:right="0"/>
              <w:rPr>
                <w:rFonts w:hint="default" w:eastAsiaTheme="minorEastAsia"/>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．提高污水处理能力，完善既有污水处理厂和新建、扩建污水处理厂配套管网建设，基本实现城中村、老旧城区和城乡结合部生活污水收集处理。</w:t>
            </w:r>
          </w:p>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9" w:hRule="atLeast"/>
          <w:jc w:val="center"/>
        </w:trPr>
        <w:tc>
          <w:tcPr>
            <w:tcW w:w="1307"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ZH45022320003</w:t>
            </w:r>
          </w:p>
        </w:tc>
        <w:tc>
          <w:tcPr>
            <w:tcW w:w="2142"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commentRangeStart w:id="17"/>
            <w:r>
              <w:rPr>
                <w:rFonts w:hint="default" w:eastAsiaTheme="minorEastAsia"/>
                <w:color w:val="auto"/>
                <w:highlight w:val="none"/>
              </w:rPr>
              <w:t>鹿寨县布局敏感区重点管控单元</w:t>
            </w:r>
            <w:commentRangeEnd w:id="17"/>
            <w:r>
              <w:rPr>
                <w:highlight w:val="none"/>
              </w:rPr>
              <w:commentReference w:id="17"/>
            </w:r>
          </w:p>
        </w:tc>
        <w:tc>
          <w:tcPr>
            <w:tcW w:w="1253"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50"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原则上避免大规模排放大气污染物的项目布局建设。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4" w:hRule="atLeast"/>
          <w:jc w:val="center"/>
        </w:trPr>
        <w:tc>
          <w:tcPr>
            <w:tcW w:w="130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142"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3"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250"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cs="Times New Roman" w:eastAsiaTheme="minorEastAsia"/>
                <w:strike w:val="0"/>
                <w:dstrike w:val="0"/>
                <w:color w:val="auto"/>
                <w:highlight w:val="none"/>
                <w:lang w:val="en-US" w:eastAsia="zh-CN"/>
              </w:rPr>
              <w:t>全面开展“散乱污”企业及集群综合整治行动。加大区域内大气污染治理力度，优化大气污染物排放项目布局，引导新建、扩建排放大气污染工业项目采用清洁生产工艺、先进的污染防治工艺。强化不利气象条件下秸秆焚烧控制，空气污染预警情况下严格执行秸秆禁烧管控。加强VOCs排放企业源头控制。</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07"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ZH45022320004</w:t>
            </w:r>
          </w:p>
        </w:tc>
        <w:tc>
          <w:tcPr>
            <w:tcW w:w="2142"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rPr>
            </w:pPr>
            <w:commentRangeStart w:id="18"/>
            <w:r>
              <w:rPr>
                <w:rFonts w:hint="default" w:eastAsiaTheme="minorEastAsia"/>
                <w:color w:val="auto"/>
                <w:highlight w:val="none"/>
              </w:rPr>
              <w:t>鹿寨县其他重点管控单元</w:t>
            </w:r>
            <w:commentRangeEnd w:id="18"/>
            <w:r>
              <w:rPr>
                <w:highlight w:val="none"/>
              </w:rPr>
              <w:commentReference w:id="18"/>
            </w:r>
          </w:p>
        </w:tc>
        <w:tc>
          <w:tcPr>
            <w:tcW w:w="1253"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50" w:type="dxa"/>
            <w:shd w:val="clear" w:color="auto" w:fill="auto"/>
            <w:vAlign w:val="center"/>
          </w:tcPr>
          <w:p>
            <w:pPr>
              <w:pStyle w:val="27"/>
              <w:numPr>
                <w:ilvl w:val="-1"/>
                <w:numId w:val="0"/>
              </w:numPr>
              <w:rPr>
                <w:rFonts w:ascii="Times New Roman" w:hAnsi="Times New Roman" w:eastAsiaTheme="minorEastAsia"/>
                <w:color w:val="auto"/>
                <w:highlight w:val="none"/>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ascii="Times New Roman" w:hAnsi="Times New Roman" w:eastAsiaTheme="minorEastAsia"/>
                <w:color w:val="auto"/>
                <w:highlight w:val="none"/>
              </w:rPr>
              <w:t>新建港口码头应避让且尽量远离生态保护红线、法定保护区等环境保护目标，降低规划实施对敏感目标的影响</w:t>
            </w:r>
            <w:r>
              <w:rPr>
                <w:rFonts w:hint="default" w:eastAsiaTheme="minorEastAsia"/>
                <w:color w:val="auto"/>
                <w:highlight w:val="none"/>
                <w:lang w:eastAsia="zh-CN"/>
              </w:rPr>
              <w:t>。</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居住用</w:t>
            </w:r>
            <w:r>
              <w:rPr>
                <w:rFonts w:hint="default" w:ascii="Times New Roman" w:hAnsi="Times New Roman" w:cs="Times New Roman" w:eastAsiaTheme="minorEastAsia"/>
                <w:b w:val="0"/>
                <w:bCs w:val="0"/>
                <w:strike w:val="0"/>
                <w:dstrike w:val="0"/>
                <w:color w:val="auto"/>
                <w:highlight w:val="none"/>
              </w:rPr>
              <w:t>地周边严控布局潜在污染扰民和环境风险突出的建设项目。禁止在居民区和学校、医院、疗养院、养老院等单位周边新建、改建、扩建可能造成土壤污染的建设项目。禁止在人口</w:t>
            </w:r>
            <w:r>
              <w:rPr>
                <w:rFonts w:hint="default" w:ascii="Times New Roman" w:hAnsi="Times New Roman" w:cs="Times New Roman" w:eastAsiaTheme="minorEastAsia"/>
                <w:strike w:val="0"/>
                <w:dstrike w:val="0"/>
                <w:color w:val="auto"/>
                <w:highlight w:val="none"/>
              </w:rPr>
              <w:t>聚居区域内新（改、扩）建涉重金属企业。</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临近生态保护红线的工业企业，应采取有效措施，避免产生不利影响。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6" w:hRule="atLeast"/>
          <w:jc w:val="center"/>
        </w:trPr>
        <w:tc>
          <w:tcPr>
            <w:tcW w:w="130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142"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3"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250" w:type="dxa"/>
            <w:shd w:val="clear" w:color="auto" w:fill="auto"/>
            <w:vAlign w:val="center"/>
          </w:tcPr>
          <w:p>
            <w:pPr>
              <w:pStyle w:val="27"/>
              <w:keepNext w:val="0"/>
              <w:keepLines w:val="0"/>
              <w:suppressLineNumbers w:val="0"/>
              <w:spacing w:before="0" w:beforeAutospacing="0" w:after="0" w:afterAutospacing="0"/>
              <w:ind w:left="0" w:right="0"/>
              <w:rPr>
                <w:rFonts w:hint="default"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1</w:t>
            </w:r>
            <w:r>
              <w:rPr>
                <w:rFonts w:hint="default" w:cs="Times New Roman"/>
                <w:strike w:val="0"/>
                <w:dstrike w:val="0"/>
                <w:color w:val="auto"/>
                <w:highlight w:val="none"/>
                <w:lang w:val="en-US" w:eastAsia="zh-CN"/>
              </w:rPr>
              <w:t>．</w:t>
            </w:r>
            <w:r>
              <w:rPr>
                <w:rFonts w:hint="default"/>
                <w:color w:val="auto"/>
                <w:highlight w:val="none"/>
                <w:lang w:val="en-US" w:eastAsia="zh-CN"/>
              </w:rPr>
              <w:t>完善</w:t>
            </w:r>
            <w:r>
              <w:rPr>
                <w:rFonts w:hint="default" w:eastAsiaTheme="minorEastAsia"/>
                <w:color w:val="auto"/>
                <w:highlight w:val="none"/>
                <w:lang w:val="en-US" w:eastAsia="zh-CN"/>
              </w:rPr>
              <w:t>港区</w:t>
            </w:r>
            <w:r>
              <w:rPr>
                <w:rFonts w:hint="default"/>
                <w:color w:val="auto"/>
                <w:highlight w:val="none"/>
                <w:lang w:val="en-US" w:eastAsia="zh-CN"/>
              </w:rPr>
              <w:t>污水集中处理设施和配套管网建设，实现污水集中处理、回用或达标排放。</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2</w:t>
            </w:r>
            <w:r>
              <w:rPr>
                <w:rFonts w:hint="default" w:cs="Times New Roman"/>
                <w:strike w:val="0"/>
                <w:dstrike w:val="0"/>
                <w:color w:val="auto"/>
                <w:highlight w:val="none"/>
                <w:lang w:val="en-US" w:eastAsia="zh-CN"/>
              </w:rPr>
              <w:t>．</w:t>
            </w:r>
            <w:r>
              <w:rPr>
                <w:rFonts w:hint="default"/>
                <w:color w:val="auto"/>
                <w:highlight w:val="none"/>
                <w:lang w:val="en-US" w:eastAsia="zh-CN"/>
              </w:rPr>
              <w:t>强化</w:t>
            </w:r>
            <w:r>
              <w:rPr>
                <w:rFonts w:hint="default" w:eastAsiaTheme="minorEastAsia"/>
                <w:color w:val="auto"/>
                <w:highlight w:val="none"/>
                <w:lang w:val="en-US" w:eastAsia="zh-CN"/>
              </w:rPr>
              <w:t>码头</w:t>
            </w:r>
            <w:r>
              <w:rPr>
                <w:rFonts w:hint="default"/>
                <w:color w:val="auto"/>
                <w:highlight w:val="none"/>
                <w:lang w:val="en-US" w:eastAsia="zh-CN"/>
              </w:rPr>
              <w:t>作业区堆场扬尘控制。</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rPr>
              <w:t>2025年，</w:t>
            </w:r>
            <w:r>
              <w:rPr>
                <w:rFonts w:hint="default" w:eastAsiaTheme="minorEastAsia"/>
                <w:b w:val="0"/>
                <w:color w:val="auto"/>
                <w:kern w:val="2"/>
                <w:highlight w:val="none"/>
              </w:rPr>
              <w:t>渔村</w:t>
            </w:r>
            <w:r>
              <w:rPr>
                <w:rFonts w:hint="default" w:eastAsiaTheme="minorEastAsia"/>
                <w:color w:val="auto"/>
                <w:highlight w:val="none"/>
              </w:rPr>
              <w:t>国考断面</w:t>
            </w:r>
            <w:r>
              <w:rPr>
                <w:rFonts w:ascii="Times New Roman" w:hAnsi="Times New Roman" w:cs="Times New Roman" w:eastAsiaTheme="minorEastAsia"/>
                <w:color w:val="auto"/>
                <w:sz w:val="21"/>
                <w:szCs w:val="21"/>
                <w:highlight w:val="none"/>
              </w:rPr>
              <w:t>水质</w:t>
            </w:r>
            <w:r>
              <w:rPr>
                <w:rFonts w:hint="eastAsia" w:cs="Times New Roman" w:eastAsiaTheme="minorEastAsia"/>
                <w:color w:val="auto"/>
                <w:sz w:val="21"/>
                <w:szCs w:val="21"/>
                <w:highlight w:val="none"/>
                <w:lang w:eastAsia="zh-CN"/>
              </w:rPr>
              <w:t>拟执行Ⅱ类标准，最终以国家下达为准</w:t>
            </w:r>
            <w:r>
              <w:rPr>
                <w:rFonts w:hint="default" w:eastAsiaTheme="minor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7" w:hRule="atLeast"/>
          <w:jc w:val="center"/>
        </w:trPr>
        <w:tc>
          <w:tcPr>
            <w:tcW w:w="130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142"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3"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250"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4" w:hRule="atLeast"/>
          <w:jc w:val="center"/>
        </w:trPr>
        <w:tc>
          <w:tcPr>
            <w:tcW w:w="1307"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ZH45022330001</w:t>
            </w:r>
          </w:p>
        </w:tc>
        <w:tc>
          <w:tcPr>
            <w:tcW w:w="2142"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鹿寨县一般管控单元</w:t>
            </w:r>
          </w:p>
        </w:tc>
        <w:tc>
          <w:tcPr>
            <w:tcW w:w="1253"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一般管控单元</w:t>
            </w: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250"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永久基本农田一经划定，任何单位和个人不得擅自占用或改变用途。禁止任何单位和个人破坏永久基本农田耕作层。对永久基本农田实行严格保护，确保其面积不减少、土壤环境质量不下降，除法律规定的重点建设项目选址确实无法避让外，其他任何建设不得占用。</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在永久基本农田集中区域，不得新建可能造成土壤污染的建设项目；已经建成的，应当限期关闭拆除。</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禁止将重金属或者其他有毒有害物质含量超标的工业固体废物、生活垃圾或者污染土壤用于土地复垦。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atLeast"/>
          <w:jc w:val="center"/>
        </w:trPr>
        <w:tc>
          <w:tcPr>
            <w:tcW w:w="1307" w:type="dxa"/>
            <w:vMerge w:val="continue"/>
            <w:shd w:val="clear" w:color="auto" w:fill="auto"/>
            <w:vAlign w:val="center"/>
          </w:tcPr>
          <w:p>
            <w:pPr>
              <w:pStyle w:val="27"/>
              <w:keepNext w:val="0"/>
              <w:keepLines w:val="0"/>
              <w:suppressLineNumbers w:val="0"/>
              <w:spacing w:before="0" w:beforeAutospacing="0" w:after="0" w:afterAutospacing="0"/>
              <w:ind w:left="0" w:right="0"/>
              <w:rPr>
                <w:rFonts w:hint="default" w:eastAsiaTheme="minorEastAsia"/>
                <w:color w:val="auto"/>
                <w:highlight w:val="none"/>
              </w:rPr>
            </w:pPr>
          </w:p>
        </w:tc>
        <w:tc>
          <w:tcPr>
            <w:tcW w:w="2142"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eastAsiaTheme="minorEastAsia"/>
                <w:color w:val="auto"/>
                <w:highlight w:val="none"/>
              </w:rPr>
            </w:pPr>
          </w:p>
        </w:tc>
        <w:tc>
          <w:tcPr>
            <w:tcW w:w="1253" w:type="dxa"/>
            <w:vMerge w:val="continue"/>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p>
        </w:tc>
        <w:tc>
          <w:tcPr>
            <w:tcW w:w="124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250" w:type="dxa"/>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cs="Times New Roman" w:eastAsiaTheme="minorEastAsia"/>
                <w:color w:val="auto"/>
                <w:highlight w:val="none"/>
              </w:rPr>
              <w:t>2025年，</w:t>
            </w:r>
            <w:r>
              <w:rPr>
                <w:rFonts w:hint="default" w:ascii="Times New Roman" w:hAnsi="Times New Roman" w:cs="Times New Roman" w:eastAsiaTheme="minorEastAsia"/>
                <w:color w:val="auto"/>
                <w:kern w:val="2"/>
                <w:highlight w:val="none"/>
              </w:rPr>
              <w:t>旧街村</w:t>
            </w:r>
            <w:r>
              <w:rPr>
                <w:rFonts w:hint="default" w:ascii="Times New Roman" w:hAnsi="Times New Roman" w:cs="Times New Roman" w:eastAsiaTheme="minorEastAsia"/>
                <w:color w:val="auto"/>
                <w:highlight w:val="none"/>
              </w:rPr>
              <w:t>国考断面水质</w:t>
            </w:r>
            <w:r>
              <w:rPr>
                <w:rFonts w:hint="eastAsia" w:ascii="Times New Roman" w:hAnsi="Times New Roman" w:cs="Times New Roman"/>
                <w:color w:val="auto"/>
                <w:sz w:val="21"/>
                <w:szCs w:val="21"/>
                <w:highlight w:val="none"/>
                <w:lang w:eastAsia="zh-CN"/>
              </w:rPr>
              <w:t>拟执行Ⅱ类标准，最终以国家下达为准</w:t>
            </w:r>
            <w:r>
              <w:rPr>
                <w:rFonts w:hint="default" w:ascii="Times New Roman" w:hAnsi="Times New Roman" w:cs="Times New Roman" w:eastAsiaTheme="minorEastAsia"/>
                <w:color w:val="auto"/>
                <w:highlight w:val="none"/>
              </w:rPr>
              <w:t>。</w:t>
            </w:r>
          </w:p>
        </w:tc>
      </w:tr>
    </w:tbl>
    <w:p>
      <w:pPr>
        <w:widowControl/>
        <w:jc w:val="left"/>
        <w:rPr>
          <w:rFonts w:hint="default" w:ascii="Times New Roman" w:hAnsi="Times New Roman" w:cs="Times New Roman"/>
          <w:strike w:val="0"/>
          <w:dstrike w:val="0"/>
          <w:color w:val="auto"/>
          <w:highlight w:val="none"/>
        </w:rPr>
      </w:pPr>
      <w:r>
        <w:rPr>
          <w:rFonts w:hint="default" w:ascii="Times New Roman" w:hAnsi="Times New Roman" w:cs="Times New Roman"/>
          <w:strike w:val="0"/>
          <w:dstrike w:val="0"/>
          <w:color w:val="auto"/>
          <w:highlight w:val="none"/>
        </w:rPr>
        <w:br w:type="page"/>
      </w:r>
    </w:p>
    <w:bookmarkEnd w:id="75"/>
    <w:p>
      <w:pPr>
        <w:pStyle w:val="3"/>
        <w:rPr>
          <w:rFonts w:hint="default" w:ascii="Times New Roman" w:hAnsi="Times New Roman" w:cs="Times New Roman"/>
          <w:strike w:val="0"/>
          <w:dstrike w:val="0"/>
          <w:color w:val="auto"/>
          <w:highlight w:val="none"/>
        </w:rPr>
      </w:pPr>
      <w:bookmarkStart w:id="76" w:name="_Toc28142"/>
      <w:bookmarkStart w:id="77" w:name="_Toc20768"/>
      <w:bookmarkStart w:id="78" w:name="_Toc25946"/>
      <w:bookmarkStart w:id="79" w:name="_Toc21035"/>
      <w:bookmarkStart w:id="80" w:name="_Toc18091"/>
      <w:r>
        <w:rPr>
          <w:rFonts w:hint="default" w:ascii="Times New Roman" w:hAnsi="Times New Roman" w:cs="Times New Roman"/>
          <w:strike w:val="0"/>
          <w:dstrike w:val="0"/>
          <w:color w:val="auto"/>
          <w:highlight w:val="none"/>
        </w:rPr>
        <w:t>8</w:t>
      </w:r>
      <w:r>
        <w:rPr>
          <w:rFonts w:hint="default" w:ascii="Times New Roman" w:hAnsi="Times New Roman" w:cs="Times New Roman"/>
          <w:strike w:val="0"/>
          <w:dstrike w:val="0"/>
          <w:color w:val="auto"/>
          <w:highlight w:val="none"/>
          <w:lang w:val="en-US" w:eastAsia="zh-CN"/>
        </w:rPr>
        <w:t xml:space="preserve"> </w:t>
      </w:r>
      <w:r>
        <w:rPr>
          <w:rFonts w:hint="default" w:ascii="Times New Roman" w:hAnsi="Times New Roman" w:cs="Times New Roman"/>
          <w:strike w:val="0"/>
          <w:dstrike w:val="0"/>
          <w:color w:val="auto"/>
          <w:highlight w:val="none"/>
        </w:rPr>
        <w:t>融安县</w:t>
      </w:r>
      <w:bookmarkEnd w:id="76"/>
      <w:bookmarkEnd w:id="77"/>
      <w:bookmarkEnd w:id="78"/>
      <w:bookmarkEnd w:id="79"/>
      <w:bookmarkEnd w:id="80"/>
    </w:p>
    <w:p>
      <w:pPr>
        <w:pStyle w:val="25"/>
        <w:rPr>
          <w:rFonts w:hint="default" w:ascii="Times New Roman" w:hAnsi="Times New Roman" w:cs="Times New Roman"/>
          <w:strike w:val="0"/>
          <w:dstrike w:val="0"/>
          <w:color w:val="auto"/>
          <w:highlight w:val="none"/>
        </w:rPr>
      </w:pPr>
      <w:r>
        <w:rPr>
          <w:rFonts w:hint="default" w:ascii="Times New Roman" w:hAnsi="Times New Roman" w:cs="Times New Roman"/>
          <w:strike w:val="0"/>
          <w:dstrike w:val="0"/>
          <w:color w:val="auto"/>
          <w:highlight w:val="none"/>
        </w:rPr>
        <w:t>表</w:t>
      </w:r>
      <w:r>
        <w:rPr>
          <w:rFonts w:hint="default" w:ascii="Times New Roman" w:hAnsi="Times New Roman" w:cs="Times New Roman"/>
          <w:strike w:val="0"/>
          <w:dstrike w:val="0"/>
          <w:color w:val="auto"/>
          <w:highlight w:val="none"/>
          <w:lang w:val="en-US" w:eastAsia="zh-CN"/>
        </w:rPr>
        <w:t>8-1</w:t>
      </w:r>
      <w:r>
        <w:rPr>
          <w:rFonts w:hint="default" w:ascii="Times New Roman" w:hAnsi="Times New Roman" w:cs="Times New Roman"/>
          <w:strike w:val="0"/>
          <w:dstrike w:val="0"/>
          <w:color w:val="auto"/>
          <w:highlight w:val="none"/>
        </w:rPr>
        <w:t xml:space="preserve">  柳州市融安县</w:t>
      </w:r>
      <w:r>
        <w:rPr>
          <w:rFonts w:hint="default" w:ascii="Times New Roman" w:hAnsi="Times New Roman" w:cs="Times New Roman"/>
          <w:strike w:val="0"/>
          <w:dstrike w:val="0"/>
          <w:color w:val="auto"/>
          <w:highlight w:val="none"/>
          <w:lang w:val="en-US" w:eastAsia="zh-CN"/>
        </w:rPr>
        <w:t>生态环境准入及管控要求</w:t>
      </w:r>
    </w:p>
    <w:tbl>
      <w:tblPr>
        <w:tblStyle w:val="15"/>
        <w:tblW w:w="14001" w:type="dxa"/>
        <w:jc w:val="center"/>
        <w:tblInd w:w="-2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2294"/>
        <w:gridCol w:w="1146"/>
        <w:gridCol w:w="1187"/>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blHeader/>
          <w:jc w:val="center"/>
        </w:trPr>
        <w:tc>
          <w:tcPr>
            <w:tcW w:w="1447"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环境管控单元编码</w:t>
            </w:r>
          </w:p>
        </w:tc>
        <w:tc>
          <w:tcPr>
            <w:tcW w:w="2294"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环境管控单元名称</w:t>
            </w:r>
          </w:p>
        </w:tc>
        <w:tc>
          <w:tcPr>
            <w:tcW w:w="1146"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环境管控单元类别</w:t>
            </w:r>
          </w:p>
        </w:tc>
        <w:tc>
          <w:tcPr>
            <w:tcW w:w="9114" w:type="dxa"/>
            <w:gridSpan w:val="2"/>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b/>
                <w:bCs/>
                <w:color w:val="auto"/>
                <w:highlight w:val="none"/>
                <w:lang w:val="en-US" w:eastAsia="zh-CN"/>
              </w:rPr>
              <w:t>生态环境准入及管控要求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4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ZH45022410001</w:t>
            </w:r>
          </w:p>
        </w:tc>
        <w:tc>
          <w:tcPr>
            <w:tcW w:w="2294"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rPr>
            </w:pPr>
            <w:r>
              <w:rPr>
                <w:rFonts w:hint="default" w:eastAsiaTheme="minorEastAsia"/>
                <w:color w:val="auto"/>
                <w:highlight w:val="none"/>
              </w:rPr>
              <w:t>广西红茶沟国家森林公园生态保护红线</w:t>
            </w:r>
          </w:p>
        </w:tc>
        <w:tc>
          <w:tcPr>
            <w:tcW w:w="114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7927" w:type="dxa"/>
            <w:shd w:val="clear" w:color="auto" w:fill="auto"/>
            <w:vAlign w:val="center"/>
          </w:tcPr>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核心保护区内，除满足国家特殊战略需要的有关活动外，原则上禁止人为活动；一般控制区内，除满足国家特殊战略需要的有关活动外，原则上禁止开发性、生产性建设活动，仅允许对生态功能不造成破坏的有限人为活动。</w:t>
            </w:r>
          </w:p>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森林公园以及生态公益林、天然林还需执行国家、自治区以及市县相应法律法规要求。</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8" w:hRule="atLeast"/>
          <w:jc w:val="center"/>
        </w:trPr>
        <w:tc>
          <w:tcPr>
            <w:tcW w:w="14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ZH45022410002</w:t>
            </w:r>
          </w:p>
        </w:tc>
        <w:tc>
          <w:tcPr>
            <w:tcW w:w="2294"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rPr>
            </w:pPr>
            <w:r>
              <w:rPr>
                <w:rFonts w:hint="default" w:eastAsiaTheme="minorEastAsia"/>
                <w:color w:val="auto"/>
                <w:highlight w:val="none"/>
              </w:rPr>
              <w:t>广西柳州三锁自治区级自然保护区生态保护红线</w:t>
            </w:r>
          </w:p>
        </w:tc>
        <w:tc>
          <w:tcPr>
            <w:tcW w:w="114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7927" w:type="dxa"/>
            <w:shd w:val="clear" w:color="auto" w:fill="auto"/>
            <w:vAlign w:val="center"/>
          </w:tcPr>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1</w:t>
            </w:r>
            <w:r>
              <w:rPr>
                <w:rFonts w:hint="default"/>
                <w:color w:val="auto"/>
                <w:highlight w:val="none"/>
                <w:lang w:eastAsia="zh-CN"/>
              </w:rPr>
              <w:t>．</w:t>
            </w:r>
            <w:r>
              <w:rPr>
                <w:rFonts w:hint="default"/>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2</w:t>
            </w:r>
            <w:r>
              <w:rPr>
                <w:rFonts w:hint="default"/>
                <w:color w:val="auto"/>
                <w:highlight w:val="none"/>
                <w:lang w:eastAsia="zh-CN"/>
              </w:rPr>
              <w:t>．</w:t>
            </w:r>
            <w:r>
              <w:rPr>
                <w:rFonts w:hint="default"/>
                <w:color w:val="auto"/>
                <w:highlight w:val="none"/>
              </w:rPr>
              <w:t>核心保护区内，除满足国家特殊战略需要的有关活动外，原则上禁止人为活动；一般控制区内，除满足国家特殊战略需要的有关活动外，原则上禁止开发性、生产性建设活动，仅允许对生态功能不造成破坏的有限人为活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3</w:t>
            </w:r>
            <w:r>
              <w:rPr>
                <w:rFonts w:hint="default"/>
                <w:color w:val="auto"/>
                <w:highlight w:val="none"/>
                <w:lang w:eastAsia="zh-CN"/>
              </w:rPr>
              <w:t>．</w:t>
            </w:r>
            <w:r>
              <w:rPr>
                <w:rFonts w:hint="default"/>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color w:val="auto"/>
                <w:highlight w:val="none"/>
              </w:rPr>
              <w:t>环境管控及准入要求清单进行。</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4</w:t>
            </w:r>
            <w:r>
              <w:rPr>
                <w:rFonts w:hint="default"/>
                <w:color w:val="auto"/>
                <w:highlight w:val="none"/>
                <w:lang w:eastAsia="zh-CN"/>
              </w:rPr>
              <w:t>．</w:t>
            </w:r>
            <w:r>
              <w:rPr>
                <w:rFonts w:hint="default"/>
                <w:color w:val="auto"/>
                <w:highlight w:val="none"/>
              </w:rPr>
              <w:t>自然保护区以及生态公益林、天然林还需执行国家、自治区以及市县相应法律法规要求。</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olor w:val="auto"/>
                <w:highlight w:val="none"/>
              </w:rPr>
              <w:t>5</w:t>
            </w:r>
            <w:r>
              <w:rPr>
                <w:rFonts w:hint="default"/>
                <w:color w:val="auto"/>
                <w:highlight w:val="none"/>
                <w:lang w:eastAsia="zh-CN"/>
              </w:rPr>
              <w:t>．</w:t>
            </w:r>
            <w:r>
              <w:rPr>
                <w:rFonts w:hint="default"/>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5" w:hRule="atLeast"/>
          <w:jc w:val="center"/>
        </w:trPr>
        <w:tc>
          <w:tcPr>
            <w:tcW w:w="14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ZH45022410003</w:t>
            </w:r>
          </w:p>
        </w:tc>
        <w:tc>
          <w:tcPr>
            <w:tcW w:w="2294"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rPr>
            </w:pPr>
            <w:r>
              <w:rPr>
                <w:rFonts w:hint="default" w:eastAsiaTheme="minorEastAsia"/>
                <w:color w:val="auto"/>
                <w:highlight w:val="none"/>
              </w:rPr>
              <w:t>广西柳州石门自治区级地质公园生态保护红线</w:t>
            </w:r>
          </w:p>
        </w:tc>
        <w:tc>
          <w:tcPr>
            <w:tcW w:w="114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7927" w:type="dxa"/>
            <w:shd w:val="clear" w:color="auto" w:fill="auto"/>
            <w:vAlign w:val="center"/>
          </w:tcPr>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1</w:t>
            </w:r>
            <w:r>
              <w:rPr>
                <w:rFonts w:hint="default"/>
                <w:color w:val="auto"/>
                <w:highlight w:val="none"/>
                <w:lang w:eastAsia="zh-CN"/>
              </w:rPr>
              <w:t>．</w:t>
            </w:r>
            <w:r>
              <w:rPr>
                <w:rFonts w:hint="default"/>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2</w:t>
            </w:r>
            <w:r>
              <w:rPr>
                <w:rFonts w:hint="default"/>
                <w:color w:val="auto"/>
                <w:highlight w:val="none"/>
                <w:lang w:eastAsia="zh-CN"/>
              </w:rPr>
              <w:t>．</w:t>
            </w:r>
            <w:r>
              <w:rPr>
                <w:rFonts w:hint="default"/>
                <w:color w:val="auto"/>
                <w:highlight w:val="none"/>
              </w:rPr>
              <w:t>核心保护区内，除满足国家特殊战略需要的有关活动外，原则上禁止人为活动；一般控制区内，除满足国家特殊战略需要的有关活动外，原则上禁止开发性、生产性建设活动，仅允许对生态功能不造成破坏的有限人为活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3</w:t>
            </w:r>
            <w:r>
              <w:rPr>
                <w:rFonts w:hint="default"/>
                <w:color w:val="auto"/>
                <w:highlight w:val="none"/>
                <w:lang w:eastAsia="zh-CN"/>
              </w:rPr>
              <w:t>．</w:t>
            </w:r>
            <w:r>
              <w:rPr>
                <w:rFonts w:hint="default"/>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color w:val="auto"/>
                <w:highlight w:val="none"/>
              </w:rPr>
              <w:t>环境管控及准入要求清单进行。</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4</w:t>
            </w:r>
            <w:r>
              <w:rPr>
                <w:rFonts w:hint="default"/>
                <w:color w:val="auto"/>
                <w:highlight w:val="none"/>
                <w:lang w:eastAsia="zh-CN"/>
              </w:rPr>
              <w:t>．</w:t>
            </w:r>
            <w:r>
              <w:rPr>
                <w:rFonts w:hint="default"/>
                <w:color w:val="auto"/>
                <w:highlight w:val="none"/>
              </w:rPr>
              <w:t>地质公园以及生态公益林、天然林还需执行国家、自治区以及市县相应法律法规要求。</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olor w:val="auto"/>
                <w:highlight w:val="none"/>
              </w:rPr>
              <w:t>5</w:t>
            </w:r>
            <w:r>
              <w:rPr>
                <w:rFonts w:hint="default"/>
                <w:color w:val="auto"/>
                <w:highlight w:val="none"/>
                <w:lang w:eastAsia="zh-CN"/>
              </w:rPr>
              <w:t>．</w:t>
            </w:r>
            <w:r>
              <w:rPr>
                <w:rFonts w:hint="default"/>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6" w:hRule="atLeast"/>
          <w:jc w:val="center"/>
        </w:trPr>
        <w:tc>
          <w:tcPr>
            <w:tcW w:w="14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ZH45022410004</w:t>
            </w:r>
          </w:p>
        </w:tc>
        <w:tc>
          <w:tcPr>
            <w:tcW w:w="2294"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桂北山地水源涵养与生物多样性维护生态保护红线</w:t>
            </w:r>
          </w:p>
        </w:tc>
        <w:tc>
          <w:tcPr>
            <w:tcW w:w="114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7927" w:type="dxa"/>
            <w:shd w:val="clear" w:color="auto" w:fill="auto"/>
            <w:vAlign w:val="center"/>
          </w:tcPr>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1</w:t>
            </w:r>
            <w:r>
              <w:rPr>
                <w:rFonts w:hint="default"/>
                <w:color w:val="auto"/>
                <w:highlight w:val="none"/>
                <w:lang w:eastAsia="zh-CN"/>
              </w:rPr>
              <w:t>．</w:t>
            </w:r>
            <w:r>
              <w:rPr>
                <w:rFonts w:hint="default"/>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2</w:t>
            </w:r>
            <w:r>
              <w:rPr>
                <w:rFonts w:hint="default"/>
                <w:color w:val="auto"/>
                <w:highlight w:val="none"/>
                <w:lang w:eastAsia="zh-CN"/>
              </w:rPr>
              <w:t>．</w:t>
            </w:r>
            <w:r>
              <w:rPr>
                <w:rFonts w:hint="default"/>
                <w:color w:val="auto"/>
                <w:highlight w:val="none"/>
              </w:rPr>
              <w:t>在符合现行法律法规前提下，除国家重大战略项目外，仅允许对生态功能不造成破坏的有限人为活动。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3</w:t>
            </w:r>
            <w:r>
              <w:rPr>
                <w:rFonts w:hint="default"/>
                <w:color w:val="auto"/>
                <w:highlight w:val="none"/>
                <w:lang w:eastAsia="zh-CN"/>
              </w:rPr>
              <w:t>．</w:t>
            </w:r>
            <w:r>
              <w:rPr>
                <w:rFonts w:hint="default"/>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color w:val="auto"/>
                <w:highlight w:val="none"/>
              </w:rPr>
              <w:t>环境管控及准入要求清单进行。</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4</w:t>
            </w:r>
            <w:r>
              <w:rPr>
                <w:rFonts w:hint="default"/>
                <w:color w:val="auto"/>
                <w:highlight w:val="none"/>
                <w:lang w:eastAsia="zh-CN"/>
              </w:rPr>
              <w:t>．</w:t>
            </w:r>
            <w:r>
              <w:rPr>
                <w:rFonts w:hint="default"/>
                <w:color w:val="auto"/>
                <w:highlight w:val="none"/>
              </w:rPr>
              <w:t>饮用水水源保护区以及生态公益林、天然林还需执行国家、自治区以及市县相应法律法规要求。</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olor w:val="auto"/>
                <w:highlight w:val="none"/>
              </w:rPr>
              <w:t>5</w:t>
            </w:r>
            <w:r>
              <w:rPr>
                <w:rFonts w:hint="default"/>
                <w:color w:val="auto"/>
                <w:highlight w:val="none"/>
                <w:lang w:eastAsia="zh-CN"/>
              </w:rPr>
              <w:t>．</w:t>
            </w:r>
            <w:r>
              <w:rPr>
                <w:rFonts w:hint="default"/>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5" w:hRule="atLeast"/>
          <w:jc w:val="center"/>
        </w:trPr>
        <w:tc>
          <w:tcPr>
            <w:tcW w:w="14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ZH45022410005</w:t>
            </w:r>
          </w:p>
        </w:tc>
        <w:tc>
          <w:tcPr>
            <w:tcW w:w="2294"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柳江-黔江流域水源涵养生态保护红线</w:t>
            </w:r>
          </w:p>
        </w:tc>
        <w:tc>
          <w:tcPr>
            <w:tcW w:w="1146"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187"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7927" w:type="dxa"/>
            <w:shd w:val="clear" w:color="auto" w:fill="auto"/>
            <w:vAlign w:val="center"/>
          </w:tcPr>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1</w:t>
            </w:r>
            <w:r>
              <w:rPr>
                <w:rFonts w:hint="default"/>
                <w:color w:val="auto"/>
                <w:highlight w:val="none"/>
                <w:lang w:eastAsia="zh-CN"/>
              </w:rPr>
              <w:t>．</w:t>
            </w:r>
            <w:r>
              <w:rPr>
                <w:rFonts w:hint="default"/>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2</w:t>
            </w:r>
            <w:r>
              <w:rPr>
                <w:rFonts w:hint="default"/>
                <w:color w:val="auto"/>
                <w:highlight w:val="none"/>
                <w:lang w:eastAsia="zh-CN"/>
              </w:rPr>
              <w:t>．</w:t>
            </w:r>
            <w:r>
              <w:rPr>
                <w:rFonts w:hint="default"/>
                <w:color w:val="auto"/>
                <w:highlight w:val="none"/>
              </w:rPr>
              <w:t>在符合现行法律法规前提下，除国家重大战略项目外，仅允许对生态功能不造成破坏的有限人为活动。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3</w:t>
            </w:r>
            <w:r>
              <w:rPr>
                <w:rFonts w:hint="default"/>
                <w:color w:val="auto"/>
                <w:highlight w:val="none"/>
                <w:lang w:eastAsia="zh-CN"/>
              </w:rPr>
              <w:t>．</w:t>
            </w:r>
            <w:r>
              <w:rPr>
                <w:rFonts w:hint="default"/>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color w:val="auto"/>
                <w:highlight w:val="none"/>
              </w:rPr>
              <w:t>环境管控及准入要求清单进行。</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4</w:t>
            </w:r>
            <w:r>
              <w:rPr>
                <w:rFonts w:hint="default"/>
                <w:color w:val="auto"/>
                <w:highlight w:val="none"/>
                <w:lang w:eastAsia="zh-CN"/>
              </w:rPr>
              <w:t>．</w:t>
            </w:r>
            <w:r>
              <w:rPr>
                <w:rFonts w:hint="default"/>
                <w:color w:val="auto"/>
                <w:highlight w:val="none"/>
              </w:rPr>
              <w:t>生态公益林、天然林还需执行国家、自治区以及市县相应法律法规要求。</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olor w:val="auto"/>
                <w:highlight w:val="none"/>
              </w:rPr>
              <w:t>5</w:t>
            </w:r>
            <w:r>
              <w:rPr>
                <w:rFonts w:hint="default"/>
                <w:color w:val="auto"/>
                <w:highlight w:val="none"/>
                <w:lang w:eastAsia="zh-CN"/>
              </w:rPr>
              <w:t>．</w:t>
            </w:r>
            <w:r>
              <w:rPr>
                <w:rFonts w:hint="default"/>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0" w:hRule="atLeast"/>
          <w:jc w:val="center"/>
        </w:trPr>
        <w:tc>
          <w:tcPr>
            <w:tcW w:w="14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ZH45022410006</w:t>
            </w:r>
          </w:p>
        </w:tc>
        <w:tc>
          <w:tcPr>
            <w:tcW w:w="2294"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融安-鹿寨-永福岩溶山地水土保持生态保护红线</w:t>
            </w:r>
          </w:p>
        </w:tc>
        <w:tc>
          <w:tcPr>
            <w:tcW w:w="1146"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187"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7927" w:type="dxa"/>
            <w:shd w:val="clear" w:color="auto" w:fill="auto"/>
            <w:vAlign w:val="center"/>
          </w:tcPr>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在符合现行法律法规前提下，除国家重大战略项目外，仅允许对生态功能不造成破坏的有限人为活动。</w:t>
            </w:r>
          </w:p>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eastAsiaTheme="minor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生态公益林、天然林还需执行国家、自治区以及市县相应法律法规要求。</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14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ZH45022410007</w:t>
            </w:r>
          </w:p>
        </w:tc>
        <w:tc>
          <w:tcPr>
            <w:tcW w:w="2294"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融安县县城饮用水</w:t>
            </w:r>
            <w:r>
              <w:rPr>
                <w:rFonts w:hint="default" w:eastAsiaTheme="minorEastAsia"/>
                <w:color w:val="auto"/>
                <w:highlight w:val="none"/>
                <w:lang w:eastAsia="zh-CN"/>
              </w:rPr>
              <w:t>水源保护区</w:t>
            </w:r>
            <w:r>
              <w:rPr>
                <w:rFonts w:hint="default" w:eastAsiaTheme="minorEastAsia"/>
                <w:color w:val="auto"/>
                <w:highlight w:val="none"/>
              </w:rPr>
              <w:t>一般生态空间</w:t>
            </w:r>
          </w:p>
        </w:tc>
        <w:tc>
          <w:tcPr>
            <w:tcW w:w="114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7927" w:type="dxa"/>
            <w:shd w:val="clear" w:color="auto" w:fill="auto"/>
            <w:vAlign w:val="center"/>
          </w:tcPr>
          <w:p>
            <w:pPr>
              <w:rPr>
                <w:color w:val="auto"/>
                <w:highlight w:val="none"/>
              </w:rPr>
            </w:pPr>
            <w:r>
              <w:rPr>
                <w:rFonts w:hint="eastAsia" w:ascii="Times New Roman" w:hAnsi="Times New Roman" w:cs="Times New Roman"/>
                <w:color w:val="auto"/>
                <w:highlight w:val="none"/>
                <w:lang w:val="en-US" w:eastAsia="zh-CN"/>
              </w:rPr>
              <w:t>1</w:t>
            </w:r>
            <w:r>
              <w:rPr>
                <w:rFonts w:hint="default" w:ascii="Times New Roman" w:hAnsi="Times New Roman" w:cs="Times New Roman"/>
                <w:color w:val="auto"/>
                <w:highlight w:val="none"/>
                <w:lang w:val="en-US" w:eastAsia="zh-CN"/>
              </w:rPr>
              <w:t>．按照《饮用水水源保护区污染防治管理规定》《中华人民共和国水污染防治法》《广西壮族自治区饮用水水源保护条例》《广西壮族自治区水污染防治条例》等相关法律法规进行管理。</w:t>
            </w:r>
          </w:p>
          <w:p>
            <w:pPr>
              <w:ind w:firstLine="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eastAsia="zh-CN"/>
              </w:rPr>
              <w:t>水源涵养功能（极）重要区</w:t>
            </w:r>
            <w:r>
              <w:rPr>
                <w:rFonts w:hint="default" w:ascii="Times New Roman" w:hAnsi="Times New Roman" w:cs="Times New Roman"/>
                <w:color w:val="auto"/>
                <w:highlight w:val="none"/>
                <w:lang w:eastAsia="zh-CN"/>
              </w:rPr>
              <w:t>内</w:t>
            </w:r>
            <w:r>
              <w:rPr>
                <w:rFonts w:hint="default" w:ascii="Times New Roman" w:hAnsi="Times New Roman" w:cs="Times New Roman"/>
                <w:color w:val="auto"/>
                <w:highlight w:val="none"/>
              </w:rPr>
              <w:t>严格保护具有水源涵养功能的自然植被，禁止过度放牧、无序采矿、毁林开荒，限制或禁止湿地和草地开垦等损害生态系统水源涵养功能的活动。加强生态公益林改造和建设，通过封育恢复自然植被，促使其逐步向常绿阔叶林演化，提高水源涵养的功能；林产业向合理利用与保护建设相结合的生态型林业方向发展，保持森林生长与采伐利用的动态平衡，兼顾生态效益和经济效益，逐步恢复和改善地力；加强水土保持。</w:t>
            </w:r>
          </w:p>
          <w:p>
            <w:pPr>
              <w:ind w:firstLine="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rPr>
              <w:t>依据《国家级公益林管理办法》（林资发〔2017〕34号）进行管理，严格控制勘查、开采矿藏和工程建设使用国家级公益林地。确需使用的，严格按照《建设项目使用林地审核审批管理办法》有关规定办理使用林地手续。涉及林木采伐的，按相关规定依法办理林木采伐手续。经审核审批同意使用的国家级公益林地，可按规定实行占补平衡。一级国家级公益林原则上不得开展生产经营活动，严禁打枝、采脂、割漆、剥树皮、掘根等行为。二级国家级公益林在不影响整体森林生态系统功能发挥的前提下，可以按照相关技术规程的规定开展抚育和更新性质的采伐。在不破坏森林植被的前提下，可以合理利用其林地资源，适度开展林下种植养殖和森林游憩等非木质资源开发与利用，科学发展林下经济。</w:t>
            </w:r>
          </w:p>
          <w:p>
            <w:pPr>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rPr>
              <w:t>对所有</w:t>
            </w:r>
            <w:r>
              <w:rPr>
                <w:rFonts w:hint="eastAsia" w:ascii="Times New Roman" w:hAnsi="Times New Roman" w:cs="Times New Roman"/>
                <w:color w:val="auto"/>
                <w:highlight w:val="none"/>
                <w:lang w:eastAsia="zh-CN"/>
              </w:rPr>
              <w:t>天然林</w:t>
            </w:r>
            <w:r>
              <w:rPr>
                <w:rFonts w:hint="default" w:ascii="Times New Roman" w:hAnsi="Times New Roman" w:cs="Times New Roman"/>
                <w:color w:val="auto"/>
                <w:highlight w:val="none"/>
              </w:rPr>
              <w:t>实行保护，禁止毁林开垦、将天然林改造为人工林以及其他破坏天然林及其生态环境的行为。对纳入保护重点区域的天然林，除森林病虫害防治、森林防火等维护天然林生态系统健康的必要措施外，禁止其他一切生产经营活动。开展天然林抚育作业的，必须编制作业设计，经林业主管部门审查批准后实施。严格控制天然林地转为其他用途，除国防建设、国家重大工程项目建设特色需要外，禁止占用保护重点区域的天然林地。在不破坏地表植被、不影响生物多样性保护前提下，可在天然林地适度发展生态旅游、休闲康养、特色种植养殖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1" w:hRule="atLeast"/>
          <w:jc w:val="center"/>
        </w:trPr>
        <w:tc>
          <w:tcPr>
            <w:tcW w:w="14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sz w:val="18"/>
                <w:szCs w:val="18"/>
                <w:highlight w:val="none"/>
              </w:rPr>
              <w:t>ZH45022410008</w:t>
            </w:r>
          </w:p>
        </w:tc>
        <w:tc>
          <w:tcPr>
            <w:tcW w:w="2294"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融安县其他优先保护单元</w:t>
            </w:r>
          </w:p>
        </w:tc>
        <w:tc>
          <w:tcPr>
            <w:tcW w:w="114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7927" w:type="dxa"/>
            <w:shd w:val="clear" w:color="auto" w:fill="auto"/>
            <w:vAlign w:val="center"/>
          </w:tcPr>
          <w:p>
            <w:pPr>
              <w:ind w:firstLine="0" w:firstLineChars="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．除符合国土空间规划建设和布局要求，以及市级以上矿产资源总体规划、能源开发利用规划、线性工程规划外，原则上按限制开发区域的要求进行管理。</w:t>
            </w:r>
          </w:p>
          <w:p>
            <w:pPr>
              <w:ind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矿产资源开发活动、新能源建设项目以及线性工程项目等要符合法律法规以及主体功能区规划、生态功能区划、环境保护总体规划、行业规划等规划要求，不得破坏生态、降低环境质量。要优化项目选址布局，严格控制开采量和开采区域，减少对生态空间的占用，不影响区域主导生态功能。要采取更加严格和有效的预防和保护措施，避免和减轻开发活动造成的生态破坏和环境污染。要严格落实项目环评的跟踪监测计划，项目开采（开工）、闭矿、跟踪监测要及时向所在地生态环境部门进行报备。加强矿山开采项目及其闭矿的环保督察，开展矿山区域生态环境质量飞行抽检。乡村振兴项目建设的审批简化和豁免要符合有关规定，不得影响区域主导生态功能、降低区域生态环境质量。</w:t>
            </w:r>
          </w:p>
          <w:p>
            <w:pPr>
              <w:ind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（极）重度石漠化区</w:t>
            </w:r>
            <w:r>
              <w:rPr>
                <w:rFonts w:hint="default" w:ascii="Times New Roman" w:hAnsi="Times New Roman" w:cs="Times New Roman"/>
                <w:color w:val="auto"/>
                <w:highlight w:val="none"/>
                <w:lang w:eastAsia="zh-CN"/>
              </w:rPr>
              <w:t>内</w:t>
            </w:r>
            <w:r>
              <w:rPr>
                <w:rFonts w:hint="default" w:ascii="Times New Roman" w:hAnsi="Times New Roman" w:cs="Times New Roman"/>
                <w:color w:val="auto"/>
                <w:highlight w:val="none"/>
              </w:rPr>
              <w:t>严禁陡坡垦殖、过度放牧、乱砍滥伐树木等损害水土保持功能的活动。禁止在崩塌、滑坡危险区和泥石流易发区从事取土、挖砂、采石等可能造成水土流失的活动。控制人为造成新增水土流失的资源开发和建设项目等损害水土保持功能的活动。加强石漠化综合治理，通过保护天然林、封山育林、退耕还林、小流域治理、农村生态能源建设、改变耕作方式、草食动物舍饲圈养、生态扶贫和生态移民等措施，恢复自然植被，提高水源涵养和水土保持能力。</w:t>
            </w:r>
          </w:p>
          <w:p>
            <w:pPr>
              <w:ind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生物多样性维护功能极重要区</w:t>
            </w:r>
            <w:r>
              <w:rPr>
                <w:rFonts w:hint="default" w:ascii="Times New Roman" w:hAnsi="Times New Roman" w:cs="Times New Roman"/>
                <w:color w:val="auto"/>
                <w:highlight w:val="none"/>
                <w:lang w:eastAsia="zh-CN"/>
              </w:rPr>
              <w:t>内</w:t>
            </w:r>
            <w:r>
              <w:rPr>
                <w:rFonts w:hint="default" w:ascii="Times New Roman" w:hAnsi="Times New Roman" w:cs="Times New Roman"/>
                <w:color w:val="auto"/>
                <w:highlight w:val="none"/>
              </w:rPr>
              <w:t>禁止滥捕、乱采、乱猎野生动植物。保护自然生态系统与重要物种栖息地，禁止无序采矿、毁林开荒、湿地和草地开垦等各种损害栖息地的经济社会活动和生产方式。防止生态建设导致栖息环境的改变。加强对外来物种入侵的控制，禁止在生物多样性保护功能区引进外来物种。加强生物多样性资源调查与监测，保护和修复自然生态系统和重要物种栖息地，实施生物多样性保护工程。</w:t>
            </w:r>
          </w:p>
          <w:p>
            <w:pPr>
              <w:ind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水源涵养功能（极）重要区</w:t>
            </w:r>
            <w:r>
              <w:rPr>
                <w:rFonts w:hint="default" w:ascii="Times New Roman" w:hAnsi="Times New Roman" w:cs="Times New Roman"/>
                <w:color w:val="auto"/>
                <w:highlight w:val="none"/>
                <w:lang w:eastAsia="zh-CN"/>
              </w:rPr>
              <w:t>内</w:t>
            </w:r>
            <w:r>
              <w:rPr>
                <w:rFonts w:hint="default" w:ascii="Times New Roman" w:hAnsi="Times New Roman" w:cs="Times New Roman"/>
                <w:color w:val="auto"/>
                <w:highlight w:val="none"/>
              </w:rPr>
              <w:t>严格保护具有水源涵养功能的自然植被，禁止过度放牧、无序采矿、毁林开荒，限制或禁止湿地和草地开垦等损害生态系统水源涵养功能的活动。加强生态公益林改造和建设，通过封育恢复自然植被，促使其逐步向常绿阔叶林演化，提高水源涵养的功能；林产业向合理利用与保护建设相结合的生态型林业方向发展，保持森林生长与采伐利用的动态平衡，兼顾生态效益和经济效益，逐步恢复和改善地力；加强水土保持。</w:t>
            </w:r>
          </w:p>
          <w:p>
            <w:pPr>
              <w:ind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依据《国家级公益林管理办法》（林资发〔2017〕34号）进行管理，严格控制勘查、开采矿藏和工程建设使用国家级公益林地。确需使用的，严格按照《建设项目使用林地审核审批管理办法》有关规定办理使用林地手续。涉及林木采伐的，按相关规定依法办理林木采伐手续。经审核审批同意使用的国家级公益林地，可按规定实行占补平衡。一级国家级公益林原则上不得开展生产经营活动，严禁打枝、采脂、割漆、剥树皮、掘根等行为。二级国家级公益林在不影响整体森林生态系统功能发挥的前提下，可以按照相关技术规程的规定开展抚育和更新性质的采伐。在不破坏森林植被的前提下，可以合理利用其林地资源，适度开展林下种植养殖和森林游憩等非木质资源开发与利用，科学发展林下经济。</w:t>
            </w:r>
          </w:p>
          <w:p>
            <w:pPr>
              <w:ind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7．</w:t>
            </w:r>
            <w:r>
              <w:rPr>
                <w:rFonts w:hint="default" w:ascii="Times New Roman" w:hAnsi="Times New Roman" w:cs="Times New Roman"/>
                <w:color w:val="auto"/>
                <w:highlight w:val="none"/>
              </w:rPr>
              <w:t>对所有</w:t>
            </w:r>
            <w:r>
              <w:rPr>
                <w:rFonts w:hint="eastAsia" w:ascii="Times New Roman" w:hAnsi="Times New Roman" w:cs="Times New Roman"/>
                <w:color w:val="auto"/>
                <w:highlight w:val="none"/>
                <w:lang w:eastAsia="zh-CN"/>
              </w:rPr>
              <w:t>天然林</w:t>
            </w:r>
            <w:r>
              <w:rPr>
                <w:rFonts w:hint="default" w:ascii="Times New Roman" w:hAnsi="Times New Roman" w:cs="Times New Roman"/>
                <w:color w:val="auto"/>
                <w:highlight w:val="none"/>
              </w:rPr>
              <w:t>实行保护，禁止毁林开垦、将天然林改造为人工林以及其他破坏天然林及其生态环境的行为。对纳入保护重点区域的天然林，除森林病虫害防治、森林防火等维护天然林生态系统健康的必要措施外，禁止其他一切生产经营活动。开展天然林抚育作业的，必须编制作业设计，经林业主管部门审查批准后实施。严格控制天然林地转为其他用途，除国防建设、国家重大工程项目建设特色需要外，禁止占用保护重点区域的天然林地。在不破坏地表植被、不影响生物多样性保护前提下，可在天然林地适度发展生态旅游、休闲康养、特色种植养殖产业。</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8．按照《饮用水水源保护区污染防治管理规定》《中华人民共和国水污染防治法》《广西壮族自治区饮用水水源保护条例》《广西壮族自治区水污染防治条例》等相关法律法规进行管理。</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9．</w:t>
            </w:r>
            <w:r>
              <w:rPr>
                <w:rFonts w:hint="default" w:ascii="Times New Roman" w:hAnsi="Times New Roman" w:cs="Times New Roman" w:eastAsiaTheme="minorEastAsia"/>
                <w:color w:val="auto"/>
                <w:highlight w:val="none"/>
                <w:lang w:eastAsia="zh-CN"/>
              </w:rPr>
              <w:t>源头水区</w:t>
            </w:r>
            <w:r>
              <w:rPr>
                <w:rFonts w:hint="default" w:ascii="Times New Roman" w:hAnsi="Times New Roman" w:cs="Times New Roman"/>
                <w:color w:val="auto"/>
                <w:highlight w:val="none"/>
                <w:lang w:val="en-US" w:eastAsia="zh-CN"/>
              </w:rPr>
              <w:t>严格控制区域开发强度，禁止建设水污染较大、水环境风险较高的项目。严禁水功能在Ⅱ类以上河流设置排污口，管控单元内工业污染物排放总量不得增加。现有的不符合保护要求的设施或项目限期退出或关停。严控可能造成水土流失的生产建设活动，建设单位在生产建设活动中造成水土流失的，应采取水土流失预防和治理措施。</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strike w:val="0"/>
                <w:dstrike w:val="0"/>
                <w:color w:val="auto"/>
                <w:szCs w:val="21"/>
                <w:highlight w:val="none"/>
              </w:rPr>
            </w:pPr>
            <w:r>
              <w:rPr>
                <w:rFonts w:hint="default" w:ascii="Times New Roman" w:hAnsi="Times New Roman" w:cs="Times New Roman"/>
                <w:color w:val="auto"/>
                <w:highlight w:val="none"/>
                <w:lang w:val="en-US" w:eastAsia="zh-CN"/>
              </w:rPr>
              <w:t>10．</w:t>
            </w:r>
            <w:r>
              <w:rPr>
                <w:rFonts w:hint="default" w:ascii="Times New Roman" w:hAnsi="Times New Roman" w:cs="Times New Roman"/>
                <w:color w:val="auto"/>
                <w:szCs w:val="24"/>
                <w:highlight w:val="none"/>
              </w:rPr>
              <w:t>2025年</w:t>
            </w:r>
            <w:r>
              <w:rPr>
                <w:rFonts w:hint="default" w:ascii="Times New Roman" w:hAnsi="Times New Roman" w:cs="Times New Roman"/>
                <w:color w:val="auto"/>
                <w:szCs w:val="24"/>
                <w:highlight w:val="none"/>
                <w:lang w:eastAsia="zh-CN"/>
              </w:rPr>
              <w:t>，</w:t>
            </w:r>
            <w:r>
              <w:rPr>
                <w:rFonts w:hint="default" w:ascii="Times New Roman" w:hAnsi="Times New Roman" w:cs="Times New Roman" w:eastAsiaTheme="minorEastAsia"/>
                <w:color w:val="auto"/>
                <w:highlight w:val="none"/>
              </w:rPr>
              <w:t>大洲</w:t>
            </w:r>
            <w:r>
              <w:rPr>
                <w:rFonts w:hint="default" w:ascii="Times New Roman" w:hAnsi="Times New Roman" w:cs="Times New Roman"/>
                <w:color w:val="auto"/>
                <w:szCs w:val="24"/>
                <w:highlight w:val="none"/>
              </w:rPr>
              <w:t>国考断面</w:t>
            </w:r>
            <w:r>
              <w:rPr>
                <w:rFonts w:ascii="Times New Roman" w:hAnsi="Times New Roman" w:cs="Times New Roman" w:eastAsiaTheme="minorEastAsia"/>
                <w:color w:val="auto"/>
                <w:sz w:val="21"/>
                <w:szCs w:val="21"/>
                <w:highlight w:val="none"/>
              </w:rPr>
              <w:t>水质</w:t>
            </w:r>
            <w:r>
              <w:rPr>
                <w:rFonts w:hint="eastAsia" w:ascii="Times New Roman" w:hAnsi="Times New Roman" w:cs="Times New Roman"/>
                <w:color w:val="auto"/>
                <w:sz w:val="21"/>
                <w:szCs w:val="21"/>
                <w:highlight w:val="none"/>
                <w:lang w:eastAsia="zh-CN"/>
              </w:rPr>
              <w:t>拟执行Ⅱ类标准，最终以国家下达为准</w:t>
            </w:r>
            <w:r>
              <w:rPr>
                <w:rFonts w:hint="default" w:ascii="Times New Roman" w:hAnsi="Times New Roman" w:cs="Times New Roman"/>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6" w:hRule="atLeast"/>
          <w:jc w:val="center"/>
        </w:trPr>
        <w:tc>
          <w:tcPr>
            <w:tcW w:w="1447"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ZH45022420001</w:t>
            </w:r>
          </w:p>
        </w:tc>
        <w:tc>
          <w:tcPr>
            <w:tcW w:w="2294"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commentRangeStart w:id="19"/>
            <w:r>
              <w:rPr>
                <w:rFonts w:hint="default" w:eastAsiaTheme="minorEastAsia"/>
                <w:color w:val="auto"/>
                <w:highlight w:val="none"/>
              </w:rPr>
              <w:t>融安县工业集中区重点管控单元</w:t>
            </w:r>
            <w:commentRangeEnd w:id="19"/>
            <w:r>
              <w:rPr>
                <w:highlight w:val="none"/>
              </w:rPr>
              <w:commentReference w:id="19"/>
            </w:r>
          </w:p>
        </w:tc>
        <w:tc>
          <w:tcPr>
            <w:tcW w:w="1146"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7927"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sz w:val="21"/>
                <w:szCs w:val="21"/>
                <w:highlight w:val="none"/>
              </w:rPr>
              <w:t>入园项目必须符合国家、自治区产业政策、供地政策及园区产业定位。</w:t>
            </w:r>
          </w:p>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禁止高水耗、废水排放量大、废水治理难度大的项目入驻园区。</w:t>
            </w:r>
          </w:p>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居住用地周边严控布局潜在污染扰民和环境风险突出的建设项目。</w:t>
            </w:r>
          </w:p>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浮石片区不得规划引进新的铅锌铟产业。</w:t>
            </w:r>
          </w:p>
          <w:p>
            <w:pPr>
              <w:pStyle w:val="27"/>
              <w:rPr>
                <w:rFonts w:hint="default" w:ascii="Times New Roman" w:hAnsi="Times New Roman" w:eastAsiaTheme="minorEastAsia"/>
                <w:color w:val="auto"/>
                <w:highlight w:val="none"/>
                <w:lang w:val="en-US" w:eastAsia="zh-CN"/>
              </w:rPr>
            </w:pPr>
            <w:r>
              <w:rPr>
                <w:rFonts w:hint="default" w:cs="Times New Roman" w:eastAsiaTheme="minorEastAsia"/>
                <w:strike w:val="0"/>
                <w:dstrike w:val="0"/>
                <w:color w:val="auto"/>
                <w:highlight w:val="none"/>
                <w:lang w:val="en-US" w:eastAsia="zh-CN"/>
              </w:rPr>
              <w:t>5</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新建大气</w:t>
            </w:r>
            <w:r>
              <w:rPr>
                <w:rFonts w:hint="default" w:ascii="Times New Roman" w:hAnsi="Times New Roman" w:eastAsiaTheme="minorEastAsia"/>
                <w:color w:val="auto"/>
                <w:highlight w:val="none"/>
                <w:lang w:val="en-US" w:eastAsia="zh-CN"/>
              </w:rPr>
              <w:t>污染物排放的工业项目，原则上应当进入工业园区或者工业集聚区；加快布局分散的企业向园区集中。</w:t>
            </w:r>
          </w:p>
          <w:p>
            <w:pPr>
              <w:pStyle w:val="27"/>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lang w:val="en-US" w:eastAsia="zh-CN"/>
              </w:rPr>
              <w:t>6</w:t>
            </w:r>
            <w:r>
              <w:rPr>
                <w:rFonts w:hint="default" w:ascii="Times New Roman" w:hAnsi="Times New Roman" w:eastAsiaTheme="minorEastAsia"/>
                <w:color w:val="auto"/>
                <w:highlight w:val="none"/>
                <w:lang w:eastAsia="zh-CN"/>
              </w:rPr>
              <w:t>．</w:t>
            </w:r>
            <w:r>
              <w:rPr>
                <w:rFonts w:hint="default" w:eastAsiaTheme="minorEastAsia"/>
                <w:color w:val="auto"/>
                <w:highlight w:val="none"/>
                <w:lang w:val="en-US" w:eastAsia="zh-CN"/>
              </w:rPr>
              <w:t>产业园</w:t>
            </w:r>
            <w:r>
              <w:rPr>
                <w:rFonts w:hint="default" w:ascii="Times New Roman" w:hAnsi="Times New Roman" w:eastAsiaTheme="minorEastAsia"/>
                <w:color w:val="auto"/>
                <w:highlight w:val="none"/>
                <w:lang w:val="en-US" w:eastAsia="zh-CN"/>
              </w:rPr>
              <w:t>区管理机构应将规划环评结论及审查意见落实到规划中，负责统筹区域内生态环境基础设施</w:t>
            </w:r>
            <w:r>
              <w:rPr>
                <w:rFonts w:hint="default" w:ascii="Times New Roman" w:hAnsi="Times New Roman" w:cs="Times New Roman" w:eastAsiaTheme="minorEastAsia"/>
                <w:strike w:val="0"/>
                <w:dstrike w:val="0"/>
                <w:color w:val="auto"/>
                <w:highlight w:val="none"/>
                <w:lang w:val="en-US" w:eastAsia="zh-CN"/>
              </w:rPr>
              <w:t>建设，</w:t>
            </w:r>
            <w:r>
              <w:rPr>
                <w:rFonts w:hint="default" w:ascii="Times New Roman" w:hAnsi="Times New Roman" w:cs="Times New Roman" w:eastAsiaTheme="minorEastAsia"/>
                <w:color w:val="auto"/>
                <w:highlight w:val="none"/>
                <w:lang w:val="en-US" w:eastAsia="zh-CN"/>
              </w:rPr>
              <w:t>不得</w:t>
            </w:r>
            <w:r>
              <w:rPr>
                <w:rFonts w:hint="default" w:ascii="Times New Roman" w:hAnsi="Times New Roman" w:cs="Times New Roman" w:eastAsiaTheme="minorEastAsia"/>
                <w:strike w:val="0"/>
                <w:dstrike w:val="0"/>
                <w:color w:val="auto"/>
                <w:highlight w:val="none"/>
                <w:lang w:val="en-US" w:eastAsia="zh-CN"/>
              </w:rPr>
              <w:t>引入不符合规划环评结论及审查意见的项目入园。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5" w:hRule="atLeast"/>
          <w:jc w:val="center"/>
        </w:trPr>
        <w:tc>
          <w:tcPr>
            <w:tcW w:w="144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294"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4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7927" w:type="dxa"/>
            <w:shd w:val="clear" w:color="auto" w:fill="auto"/>
            <w:vAlign w:val="center"/>
          </w:tcPr>
          <w:p>
            <w:pPr>
              <w:pStyle w:val="27"/>
              <w:rPr>
                <w:rFonts w:hint="default" w:ascii="Times New Roman" w:hAnsi="Times New Roman" w:eastAsiaTheme="minorEastAsia"/>
                <w:color w:val="auto"/>
                <w:highlight w:val="none"/>
                <w:lang w:val="en-US" w:eastAsia="zh-CN"/>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eastAsiaTheme="minorEastAsia"/>
                <w:color w:val="auto"/>
                <w:highlight w:val="none"/>
                <w:lang w:val="en-US" w:eastAsia="zh-CN"/>
              </w:rPr>
              <w:t>深化园区工业污染治理，持续推进工业污染源全面达标排放，开展烟气高效脱硫脱硝、除尘改造。推进各类园区技术、工艺、设备等生态化、循环化改造，积极推广园区集中供热。强化园区堆场扬尘控制。推动重点行业VOCs的排放管控，加强VOCs排放企业源头控制。</w:t>
            </w:r>
          </w:p>
          <w:p>
            <w:pPr>
              <w:pStyle w:val="27"/>
              <w:rPr>
                <w:rFonts w:hint="default" w:ascii="Times New Roman" w:hAnsi="Times New Roman" w:eastAsiaTheme="minorEastAsia"/>
                <w:color w:val="auto"/>
                <w:highlight w:val="none"/>
                <w:lang w:val="en-US" w:eastAsia="zh-CN"/>
              </w:rPr>
            </w:pPr>
            <w:r>
              <w:rPr>
                <w:rFonts w:hint="default" w:ascii="Times New Roman" w:hAnsi="Times New Roman" w:eastAsiaTheme="minorEastAsia"/>
                <w:color w:val="auto"/>
                <w:highlight w:val="none"/>
                <w:lang w:val="en-US" w:eastAsia="zh-CN"/>
              </w:rPr>
              <w:t>2</w:t>
            </w:r>
            <w:r>
              <w:rPr>
                <w:rFonts w:hint="default" w:ascii="Times New Roman" w:hAnsi="Times New Roman" w:eastAsiaTheme="minorEastAsia"/>
                <w:color w:val="auto"/>
                <w:highlight w:val="none"/>
                <w:lang w:eastAsia="zh-CN"/>
              </w:rPr>
              <w:t>．</w:t>
            </w:r>
            <w:r>
              <w:rPr>
                <w:rFonts w:hint="default" w:ascii="Times New Roman" w:hAnsi="Times New Roman" w:eastAsiaTheme="minorEastAsia"/>
                <w:color w:val="auto"/>
                <w:highlight w:val="none"/>
                <w:lang w:val="en-US" w:eastAsia="zh-CN"/>
              </w:rPr>
              <w:t>逐步完成工业集聚区集中式污水处理设施建设，确保已建污水处理设施稳定运行及达标排放。园区集中式污水处理设施总排口安装自动监控系统、视频监控系统，并与生态环境主管部门联网。按照“清污分流、雨污分流”原则，实施废水分类收集、分质处理。</w:t>
            </w:r>
          </w:p>
          <w:p>
            <w:pPr>
              <w:pStyle w:val="27"/>
              <w:rPr>
                <w:rFonts w:hint="default" w:ascii="Times New Roman" w:hAnsi="Times New Roman" w:eastAsiaTheme="minorEastAsia"/>
                <w:color w:val="auto"/>
                <w:highlight w:val="none"/>
                <w:lang w:val="en-US" w:eastAsia="zh-CN"/>
              </w:rPr>
            </w:pPr>
            <w:r>
              <w:rPr>
                <w:rFonts w:hint="default" w:ascii="Times New Roman" w:hAnsi="Times New Roman" w:eastAsiaTheme="minorEastAsia"/>
                <w:color w:val="auto"/>
                <w:highlight w:val="none"/>
                <w:lang w:val="en-US" w:eastAsia="zh-CN"/>
              </w:rPr>
              <w:t>3</w:t>
            </w:r>
            <w:r>
              <w:rPr>
                <w:rFonts w:hint="default" w:ascii="Times New Roman" w:hAnsi="Times New Roman" w:eastAsiaTheme="minorEastAsia"/>
                <w:color w:val="auto"/>
                <w:highlight w:val="none"/>
                <w:lang w:eastAsia="zh-CN"/>
              </w:rPr>
              <w:t>．</w:t>
            </w:r>
            <w:r>
              <w:rPr>
                <w:rFonts w:hint="default" w:eastAsiaTheme="minorEastAsia"/>
                <w:color w:val="auto"/>
                <w:highlight w:val="none"/>
              </w:rPr>
              <w:t>园区及园区企业排放水污染物，要满足国家或者地方规定的水污染物排放标准和重点水污染物排放总量控制指标。直接外排水环境的，执行国家或者地方规定的标准要求；经城镇污水集中处理设施处理后排放的，执行市政部门管理要求；经园区污水集中处理设施处理后排放的，执行园区管理部门相关要求。</w:t>
            </w:r>
          </w:p>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ascii="Times New Roman" w:hAnsi="Times New Roman" w:eastAsiaTheme="minorEastAsia"/>
                <w:color w:val="auto"/>
                <w:highlight w:val="none"/>
                <w:lang w:val="en-US" w:eastAsia="zh-CN"/>
              </w:rPr>
              <w:t>4</w:t>
            </w:r>
            <w:r>
              <w:rPr>
                <w:rFonts w:hint="default" w:ascii="Times New Roman" w:hAnsi="Times New Roman" w:eastAsiaTheme="minorEastAsia"/>
                <w:color w:val="auto"/>
                <w:highlight w:val="none"/>
                <w:lang w:eastAsia="zh-CN"/>
              </w:rPr>
              <w:t>．</w:t>
            </w:r>
            <w:r>
              <w:rPr>
                <w:rFonts w:hint="default" w:ascii="Times New Roman" w:hAnsi="Times New Roman" w:eastAsiaTheme="minorEastAsia"/>
                <w:color w:val="auto"/>
                <w:highlight w:val="none"/>
              </w:rPr>
              <w:t>矿产资源勘查以及采选过程中排土场、露天采场、尾矿库、矿区专用道路、矿山工业场地、沉陷区、矸石场、矿山污染场地等的生态环境保护与治理恢复工作须满足</w:t>
            </w:r>
            <w:r>
              <w:rPr>
                <w:rFonts w:hint="default" w:eastAsiaTheme="minorEastAsia"/>
                <w:color w:val="auto"/>
                <w:highlight w:val="none"/>
                <w:lang w:eastAsia="zh-CN"/>
              </w:rPr>
              <w:t>《矿山生态环境保护与恢复治理技术规范（试行）》</w:t>
            </w:r>
            <w:r>
              <w:rPr>
                <w:rFonts w:hint="default" w:ascii="Times New Roman" w:hAnsi="Times New Roman" w:eastAsiaTheme="minorEastAsia"/>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4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294"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4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7927"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开展环境风险评估，制定突发环境事件应急预案并备案，配备应急能力和物资，建设环境应急队伍，并定期演练。企业、园区与地方人民政府环境应急预案应当有机衔接。</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土壤污染重点监管单位应当严格控制有毒有害物质排放，并按年度向所在地设区的市人民政府生态环境主管部门报告排放情况；建立土壤污染隐患排查制度，保证持续有效防止有毒有害物质渗漏、流失、扬散。</w:t>
            </w:r>
          </w:p>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47"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ZH45022420002</w:t>
            </w:r>
          </w:p>
        </w:tc>
        <w:tc>
          <w:tcPr>
            <w:tcW w:w="2294"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commentRangeStart w:id="20"/>
            <w:r>
              <w:rPr>
                <w:rFonts w:hint="default" w:eastAsiaTheme="minorEastAsia"/>
                <w:color w:val="auto"/>
                <w:highlight w:val="none"/>
              </w:rPr>
              <w:t>融安县城镇空间重点管控单元</w:t>
            </w:r>
            <w:commentRangeEnd w:id="20"/>
            <w:r>
              <w:rPr>
                <w:highlight w:val="none"/>
              </w:rPr>
              <w:commentReference w:id="20"/>
            </w:r>
          </w:p>
        </w:tc>
        <w:tc>
          <w:tcPr>
            <w:tcW w:w="1146"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7927" w:type="dxa"/>
            <w:shd w:val="clear" w:color="auto" w:fill="auto"/>
            <w:vAlign w:val="center"/>
          </w:tcPr>
          <w:p>
            <w:pPr>
              <w:pStyle w:val="27"/>
              <w:keepNext w:val="0"/>
              <w:keepLines w:val="0"/>
              <w:numPr>
                <w:ilvl w:val="-1"/>
                <w:numId w:val="0"/>
              </w:numPr>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．城市建成区内的钢铁、石油、化工、有色金属、水泥、平板玻璃、建筑陶瓷、砖瓦等行业中的高排放、高污染项目，应当逐步进行搬迁、改造或者转型、退出。</w:t>
            </w:r>
          </w:p>
          <w:p>
            <w:pPr>
              <w:pStyle w:val="27"/>
              <w:keepNext w:val="0"/>
              <w:keepLines w:val="0"/>
              <w:numPr>
                <w:ilvl w:val="0"/>
                <w:numId w:val="0"/>
              </w:numPr>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．城市市区、镇和村庄居民区、文化教育科学研究区等人口集中区域禁止设置畜禽养殖场、养殖小区。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4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294"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4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7927" w:type="dxa"/>
            <w:shd w:val="clear" w:color="auto" w:fill="auto"/>
            <w:vAlign w:val="center"/>
          </w:tcPr>
          <w:p>
            <w:pPr>
              <w:pStyle w:val="27"/>
              <w:keepNext w:val="0"/>
              <w:keepLines w:val="0"/>
              <w:numPr>
                <w:ilvl w:val="-1"/>
                <w:numId w:val="0"/>
              </w:numPr>
              <w:suppressLineNumbers w:val="0"/>
              <w:spacing w:before="0" w:beforeAutospacing="0" w:after="0" w:afterAutospacing="0"/>
              <w:ind w:left="0" w:right="0"/>
              <w:jc w:val="left"/>
              <w:rPr>
                <w:rFonts w:hint="default" w:ascii="Times New Roman" w:hAnsi="Times New Roman" w:eastAsiaTheme="minorEastAsia"/>
                <w:color w:val="auto"/>
                <w:highlight w:val="none"/>
                <w:lang w:val="en-US" w:eastAsia="zh-CN"/>
              </w:rPr>
            </w:pPr>
            <w:r>
              <w:rPr>
                <w:rFonts w:hint="default"/>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color w:val="auto"/>
                <w:highlight w:val="none"/>
                <w:lang w:val="en-US" w:eastAsia="zh-CN"/>
              </w:rPr>
              <w:t>加大燃煤小锅炉淘汰力度。依法依规加快淘汰老旧柴油货车。严格控制施工和道路扬尘污染。禁止露天</w:t>
            </w:r>
            <w:r>
              <w:rPr>
                <w:rFonts w:hint="default" w:ascii="Times New Roman" w:hAnsi="Times New Roman" w:eastAsiaTheme="minorEastAsia"/>
                <w:color w:val="auto"/>
                <w:highlight w:val="none"/>
                <w:lang w:val="en-US" w:eastAsia="zh-CN"/>
              </w:rPr>
              <w:t>焚烧产生有毒有害</w:t>
            </w:r>
            <w:r>
              <w:rPr>
                <w:rFonts w:hint="default" w:ascii="Times New Roman" w:hAnsi="Times New Roman" w:cs="Times New Roman" w:eastAsiaTheme="minorEastAsia"/>
                <w:strike w:val="0"/>
                <w:dstrike w:val="0"/>
                <w:color w:val="auto"/>
                <w:highlight w:val="none"/>
                <w:lang w:val="en-US" w:eastAsia="zh-CN"/>
              </w:rPr>
              <w:t>烟尘和恶臭气体的物质。鼓励建筑装修、汽修喷涂作业、干洗等行业，使用低毒、低挥发性</w:t>
            </w:r>
            <w:r>
              <w:rPr>
                <w:rFonts w:hint="default" w:ascii="Times New Roman" w:hAnsi="Times New Roman" w:eastAsiaTheme="minorEastAsia"/>
                <w:color w:val="auto"/>
                <w:highlight w:val="none"/>
                <w:lang w:val="en-US" w:eastAsia="zh-CN"/>
              </w:rPr>
              <w:t>溶剂。</w:t>
            </w:r>
          </w:p>
          <w:p>
            <w:pPr>
              <w:pStyle w:val="27"/>
              <w:jc w:val="left"/>
              <w:rPr>
                <w:rFonts w:hint="default" w:ascii="Times New Roman" w:hAnsi="Times New Roman" w:eastAsiaTheme="minorEastAsia"/>
                <w:color w:val="auto"/>
                <w:highlight w:val="none"/>
                <w:lang w:val="en-US" w:eastAsia="zh-CN"/>
              </w:rPr>
            </w:pPr>
            <w:r>
              <w:rPr>
                <w:rFonts w:hint="default" w:ascii="Times New Roman" w:hAnsi="Times New Roman" w:eastAsiaTheme="minorEastAsia"/>
                <w:color w:val="auto"/>
                <w:highlight w:val="none"/>
                <w:lang w:val="en-US" w:eastAsia="zh-CN"/>
              </w:rPr>
              <w:t>2</w:t>
            </w:r>
            <w:r>
              <w:rPr>
                <w:rFonts w:hint="default" w:ascii="Times New Roman" w:hAnsi="Times New Roman" w:eastAsiaTheme="minorEastAsia"/>
                <w:color w:val="auto"/>
                <w:highlight w:val="none"/>
                <w:lang w:eastAsia="zh-CN"/>
              </w:rPr>
              <w:t>．</w:t>
            </w:r>
            <w:r>
              <w:rPr>
                <w:rFonts w:hint="default" w:eastAsiaTheme="minorEastAsia"/>
                <w:color w:val="auto"/>
                <w:highlight w:val="none"/>
                <w:lang w:eastAsia="zh-CN"/>
              </w:rPr>
              <w:t>城市建成区基本</w:t>
            </w:r>
            <w:r>
              <w:rPr>
                <w:rFonts w:hint="default" w:ascii="Times New Roman" w:hAnsi="Times New Roman" w:eastAsiaTheme="minorEastAsia"/>
                <w:color w:val="auto"/>
                <w:highlight w:val="none"/>
                <w:lang w:eastAsia="zh-CN"/>
              </w:rPr>
              <w:t>消除生活污水直排口，有效杜绝污水直排水体。</w:t>
            </w:r>
          </w:p>
          <w:p>
            <w:pPr>
              <w:pStyle w:val="27"/>
              <w:keepNext w:val="0"/>
              <w:keepLines w:val="0"/>
              <w:numPr>
                <w:ilvl w:val="-1"/>
                <w:numId w:val="0"/>
              </w:numPr>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eastAsiaTheme="minorEastAsia"/>
                <w:color w:val="auto"/>
                <w:highlight w:val="none"/>
                <w:lang w:val="en-US" w:eastAsia="zh-CN"/>
              </w:rPr>
              <w:t>3</w:t>
            </w:r>
            <w:r>
              <w:rPr>
                <w:rFonts w:hint="default" w:ascii="Times New Roman" w:hAnsi="Times New Roman" w:eastAsiaTheme="minorEastAsia"/>
                <w:color w:val="auto"/>
                <w:highlight w:val="none"/>
                <w:lang w:eastAsia="zh-CN"/>
              </w:rPr>
              <w:t>．提高污水处理能力，完善既</w:t>
            </w:r>
            <w:r>
              <w:rPr>
                <w:rFonts w:hint="default" w:ascii="Times New Roman" w:hAnsi="Times New Roman" w:cs="Times New Roman" w:eastAsiaTheme="minorEastAsia"/>
                <w:strike w:val="0"/>
                <w:dstrike w:val="0"/>
                <w:color w:val="auto"/>
                <w:highlight w:val="none"/>
                <w:lang w:eastAsia="zh-CN"/>
              </w:rPr>
              <w:t>有污水处理厂和新建、扩建污水处理厂配套管网建设，基本实现城中村、老旧城区和城乡结合部生活污水收集处理。</w:t>
            </w:r>
          </w:p>
          <w:p>
            <w:pPr>
              <w:pStyle w:val="27"/>
              <w:keepNext w:val="0"/>
              <w:keepLines w:val="0"/>
              <w:numPr>
                <w:ilvl w:val="-1"/>
                <w:numId w:val="0"/>
              </w:numPr>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w:t>
            </w:r>
            <w:r>
              <w:rPr>
                <w:rFonts w:hint="default" w:ascii="Times New Roman" w:hAnsi="Times New Roman" w:eastAsiaTheme="minorEastAsia"/>
                <w:color w:val="auto"/>
                <w:highlight w:val="none"/>
              </w:rPr>
              <w:t>排土场、露天采场、尾矿库、矿区专用道路、矿山工业场地、沉陷区、矸石场、矿山污染场地等的生态环境保护与治理恢复工作须满足</w:t>
            </w:r>
            <w:r>
              <w:rPr>
                <w:rFonts w:hint="default" w:eastAsiaTheme="minorEastAsia"/>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5</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rPr>
              <w:t>2025年，</w:t>
            </w:r>
            <w:r>
              <w:rPr>
                <w:rFonts w:hint="default" w:eastAsiaTheme="minorEastAsia"/>
                <w:b w:val="0"/>
                <w:color w:val="auto"/>
                <w:highlight w:val="none"/>
              </w:rPr>
              <w:t>浪溪江</w:t>
            </w:r>
            <w:r>
              <w:rPr>
                <w:rFonts w:hint="default" w:eastAsiaTheme="minorEastAsia"/>
                <w:color w:val="auto"/>
                <w:highlight w:val="none"/>
              </w:rPr>
              <w:t>国考断面水质</w:t>
            </w:r>
            <w:r>
              <w:rPr>
                <w:rFonts w:hint="eastAsia" w:eastAsiaTheme="minorEastAsia"/>
                <w:color w:val="auto"/>
                <w:highlight w:val="none"/>
                <w:lang w:eastAsia="zh-CN"/>
              </w:rPr>
              <w:t>拟执行Ⅱ类标准，最终以国家下达为准</w:t>
            </w:r>
            <w:r>
              <w:rPr>
                <w:rFonts w:hint="default" w:eastAsiaTheme="minor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9" w:hRule="atLeast"/>
          <w:jc w:val="center"/>
        </w:trPr>
        <w:tc>
          <w:tcPr>
            <w:tcW w:w="144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294"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4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7927"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color w:val="auto"/>
                <w:highlight w:val="none"/>
                <w:lang w:val="en-US" w:eastAsia="zh-CN"/>
              </w:rPr>
              <w:t>对暂</w:t>
            </w:r>
            <w:r>
              <w:rPr>
                <w:rFonts w:hint="default" w:ascii="Times New Roman" w:hAnsi="Times New Roman" w:cs="Times New Roman" w:eastAsiaTheme="minorEastAsia"/>
                <w:strike w:val="0"/>
                <w:dstrike w:val="0"/>
                <w:color w:val="auto"/>
                <w:highlight w:val="none"/>
                <w:lang w:val="en-US" w:eastAsia="zh-CN"/>
              </w:rPr>
              <w:t>不开发利用的污染地块，实施以防止污染扩散为目的的风险管控；对拟开发利用为居住用地和商业、学校、医疗、养老机构等公共设施用地的污染地块，实施以安全利用为目的的风险管控。</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列入建设用地土壤污染风险管控和修复名录的地块，不得作为住宅、公共管理与公共服务用地，应当采取风险管控措施或实施修复。对达到土壤污染风险评估报告确定的风险管控、修复目标的建设用地地块，土壤污染责任人、土地使用权人可以向自治区人民政府生态环境主管部门申请移出建设用地土壤污染风险管控和修复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1447" w:type="dxa"/>
            <w:vMerge w:val="restart"/>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eastAsiaTheme="minorEastAsia"/>
                <w:color w:val="auto"/>
                <w:highlight w:val="none"/>
              </w:rPr>
            </w:pPr>
            <w:r>
              <w:rPr>
                <w:rFonts w:hint="default" w:eastAsiaTheme="minorEastAsia"/>
                <w:color w:val="auto"/>
                <w:highlight w:val="none"/>
              </w:rPr>
              <w:t>ZH45022420003</w:t>
            </w:r>
          </w:p>
        </w:tc>
        <w:tc>
          <w:tcPr>
            <w:tcW w:w="2294" w:type="dxa"/>
            <w:vMerge w:val="restart"/>
            <w:shd w:val="clear" w:color="auto" w:fill="auto"/>
            <w:vAlign w:val="center"/>
          </w:tcPr>
          <w:p>
            <w:pPr>
              <w:pStyle w:val="27"/>
              <w:keepNext w:val="0"/>
              <w:keepLines w:val="0"/>
              <w:suppressLineNumbers w:val="0"/>
              <w:spacing w:before="0" w:beforeAutospacing="0" w:after="0" w:afterAutospacing="0"/>
              <w:ind w:left="0" w:leftChars="0" w:right="0" w:rightChars="0"/>
              <w:jc w:val="both"/>
              <w:rPr>
                <w:rFonts w:hint="default" w:eastAsiaTheme="minorEastAsia"/>
                <w:color w:val="auto"/>
                <w:highlight w:val="none"/>
              </w:rPr>
            </w:pPr>
            <w:commentRangeStart w:id="21"/>
            <w:r>
              <w:rPr>
                <w:rFonts w:hint="default" w:eastAsiaTheme="minorEastAsia"/>
                <w:color w:val="auto"/>
                <w:highlight w:val="none"/>
              </w:rPr>
              <w:t>融安县布局敏感区重点管控单元</w:t>
            </w:r>
            <w:commentRangeEnd w:id="21"/>
            <w:r>
              <w:rPr>
                <w:highlight w:val="none"/>
              </w:rPr>
              <w:commentReference w:id="21"/>
            </w:r>
          </w:p>
        </w:tc>
        <w:tc>
          <w:tcPr>
            <w:tcW w:w="1146" w:type="dxa"/>
            <w:vMerge w:val="restart"/>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187"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7927" w:type="dxa"/>
            <w:shd w:val="clear" w:color="auto" w:fill="auto"/>
            <w:vAlign w:val="center"/>
          </w:tcPr>
          <w:p>
            <w:pPr>
              <w:pStyle w:val="27"/>
              <w:keepNext w:val="0"/>
              <w:keepLines w:val="0"/>
              <w:numPr>
                <w:ilvl w:val="0"/>
                <w:numId w:val="0"/>
              </w:numPr>
              <w:suppressLineNumbers w:val="0"/>
              <w:spacing w:before="0" w:beforeAutospacing="0" w:after="0" w:afterAutospacing="0"/>
              <w:ind w:left="0" w:leftChars="0" w:right="0" w:rightChars="0"/>
              <w:jc w:val="both"/>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原则上避免大规模排放大气污染物的项目布局建设。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9" w:hRule="atLeast"/>
          <w:jc w:val="center"/>
        </w:trPr>
        <w:tc>
          <w:tcPr>
            <w:tcW w:w="1447"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eastAsiaTheme="minorEastAsia"/>
                <w:color w:val="auto"/>
                <w:highlight w:val="none"/>
              </w:rPr>
            </w:pPr>
          </w:p>
        </w:tc>
        <w:tc>
          <w:tcPr>
            <w:tcW w:w="2294"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both"/>
              <w:rPr>
                <w:rFonts w:hint="default" w:eastAsiaTheme="minorEastAsia"/>
                <w:color w:val="auto"/>
                <w:highlight w:val="none"/>
              </w:rPr>
            </w:pPr>
          </w:p>
        </w:tc>
        <w:tc>
          <w:tcPr>
            <w:tcW w:w="1146"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p>
        </w:tc>
        <w:tc>
          <w:tcPr>
            <w:tcW w:w="1187"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7927" w:type="dxa"/>
            <w:shd w:val="clear" w:color="auto" w:fill="auto"/>
            <w:vAlign w:val="center"/>
          </w:tcPr>
          <w:p>
            <w:pPr>
              <w:pStyle w:val="27"/>
              <w:keepNext w:val="0"/>
              <w:keepLines w:val="0"/>
              <w:numPr>
                <w:ilvl w:val="0"/>
                <w:numId w:val="0"/>
              </w:numPr>
              <w:suppressLineNumbers w:val="0"/>
              <w:spacing w:before="0" w:beforeAutospacing="0" w:after="0" w:afterAutospacing="0"/>
              <w:ind w:left="0" w:leftChars="0" w:right="0" w:rightChars="0"/>
              <w:jc w:val="both"/>
              <w:rPr>
                <w:rFonts w:hint="default"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全面开展“散乱污”企</w:t>
            </w:r>
            <w:r>
              <w:rPr>
                <w:rFonts w:hint="default" w:ascii="Times New Roman" w:hAnsi="Times New Roman" w:cs="Times New Roman" w:eastAsiaTheme="minorEastAsia"/>
                <w:strike w:val="0"/>
                <w:dstrike w:val="0"/>
                <w:color w:val="auto"/>
                <w:highlight w:val="none"/>
                <w:lang w:val="en-US" w:eastAsia="zh-CN"/>
              </w:rPr>
              <w:t>业及集群综合整治行动。加大区域内大气污染治理力度，优化大气污染物排放项目布局，引导新建、扩建排放大气污染工业项目采用清洁生产工艺、先进的污染防治工艺。强化不利气象条件下秸秆焚烧控制，空气污染预警情况下严格执行秸秆禁烧管控。加强VOCs排放企业</w:t>
            </w:r>
            <w:r>
              <w:rPr>
                <w:rFonts w:hint="default" w:cs="Times New Roman" w:eastAsiaTheme="minorEastAsia"/>
                <w:strike w:val="0"/>
                <w:dstrike w:val="0"/>
                <w:color w:val="auto"/>
                <w:highlight w:val="none"/>
                <w:lang w:val="en-US" w:eastAsia="zh-CN"/>
              </w:rPr>
              <w:t>源头控制。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6" w:hRule="atLeast"/>
          <w:jc w:val="center"/>
        </w:trPr>
        <w:tc>
          <w:tcPr>
            <w:tcW w:w="1447"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ZH45022420004</w:t>
            </w:r>
          </w:p>
        </w:tc>
        <w:tc>
          <w:tcPr>
            <w:tcW w:w="2294"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rPr>
            </w:pPr>
            <w:commentRangeStart w:id="22"/>
            <w:r>
              <w:rPr>
                <w:rFonts w:hint="default" w:eastAsiaTheme="minorEastAsia"/>
                <w:color w:val="auto"/>
                <w:highlight w:val="none"/>
              </w:rPr>
              <w:t>融安县其他重点管控单元</w:t>
            </w:r>
            <w:commentRangeEnd w:id="22"/>
            <w:r>
              <w:rPr>
                <w:highlight w:val="none"/>
              </w:rPr>
              <w:commentReference w:id="22"/>
            </w:r>
          </w:p>
        </w:tc>
        <w:tc>
          <w:tcPr>
            <w:tcW w:w="1146"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7927" w:type="dxa"/>
            <w:shd w:val="clear" w:color="auto" w:fill="auto"/>
            <w:vAlign w:val="center"/>
          </w:tcPr>
          <w:p>
            <w:pPr>
              <w:pStyle w:val="27"/>
              <w:keepNext w:val="0"/>
              <w:keepLines w:val="0"/>
              <w:numPr>
                <w:ilvl w:val="-1"/>
                <w:numId w:val="0"/>
              </w:numPr>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规划产业园区应当依法依规进行审批。新建企业原则上均应建在产业园区。</w:t>
            </w:r>
          </w:p>
          <w:p>
            <w:pPr>
              <w:pStyle w:val="27"/>
              <w:keepNext w:val="0"/>
              <w:keepLines w:val="0"/>
              <w:numPr>
                <w:ilvl w:val="-1"/>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ascii="Times New Roman" w:hAnsi="Times New Roman" w:eastAsiaTheme="minorEastAsia"/>
                <w:color w:val="auto"/>
                <w:highlight w:val="none"/>
              </w:rPr>
              <w:t>新建港口码头应避让且尽量远离生态保护红线、法定保护区等环境保护目标，降低规划实施对敏感目标的影响</w:t>
            </w:r>
            <w:r>
              <w:rPr>
                <w:rFonts w:hint="default" w:eastAsiaTheme="minorEastAsia"/>
                <w:color w:val="auto"/>
                <w:highlight w:val="none"/>
                <w:lang w:eastAsia="zh-CN"/>
              </w:rPr>
              <w:t>。</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b w:val="0"/>
                <w:bCs w:val="0"/>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居住用地周边严控布局潜在污染扰民和环境风险突出的建</w:t>
            </w:r>
            <w:r>
              <w:rPr>
                <w:rFonts w:hint="default" w:ascii="Times New Roman" w:hAnsi="Times New Roman" w:cs="Times New Roman" w:eastAsiaTheme="minorEastAsia"/>
                <w:b w:val="0"/>
                <w:bCs w:val="0"/>
                <w:strike w:val="0"/>
                <w:dstrike w:val="0"/>
                <w:color w:val="auto"/>
                <w:highlight w:val="none"/>
              </w:rPr>
              <w:t>设项目。禁止在居民区和学校、医院、疗养院、养老院等单位周边新建、改建、扩建可能造成土壤污染的建设项目。禁止在人口聚居区域内新（改、扩）建涉重金属企业。</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临近生态保护红线的工业企业，应采取有效措施，避免产生不利影响。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5" w:hRule="atLeast"/>
          <w:jc w:val="center"/>
        </w:trPr>
        <w:tc>
          <w:tcPr>
            <w:tcW w:w="144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294"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4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7927"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工业企业应当落实大气污染防治要求，采取有效措施，强化企业大气污染物排放精细化管理、无组织废气排放控制以及高效治污设施建设。</w:t>
            </w:r>
          </w:p>
          <w:p>
            <w:pPr>
              <w:pStyle w:val="27"/>
              <w:keepNext w:val="0"/>
              <w:keepLines w:val="0"/>
              <w:suppressLineNumbers w:val="0"/>
              <w:spacing w:before="0" w:beforeAutospacing="0" w:after="0" w:afterAutospacing="0"/>
              <w:ind w:left="0" w:right="0"/>
              <w:rPr>
                <w:rFonts w:hint="default"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color w:val="auto"/>
                <w:highlight w:val="none"/>
                <w:lang w:val="en-US" w:eastAsia="zh-CN"/>
              </w:rPr>
              <w:t>完善港区污水集中处理设施和配套管网建设，实现污水集中处理、回用或达标排放。</w:t>
            </w:r>
          </w:p>
          <w:p>
            <w:pPr>
              <w:pStyle w:val="27"/>
              <w:keepNext w:val="0"/>
              <w:keepLines w:val="0"/>
              <w:numPr>
                <w:ilvl w:val="0"/>
                <w:numId w:val="0"/>
              </w:numPr>
              <w:suppressLineNumbers w:val="0"/>
              <w:spacing w:before="0" w:beforeAutospacing="0" w:after="0" w:afterAutospacing="0"/>
              <w:ind w:right="0" w:rightChars="0"/>
              <w:rPr>
                <w:rFonts w:hint="default"/>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color w:val="auto"/>
                <w:highlight w:val="none"/>
                <w:lang w:val="en-US" w:eastAsia="zh-CN"/>
              </w:rPr>
              <w:t>强化码头作业区堆场扬尘控制。</w:t>
            </w:r>
          </w:p>
          <w:p>
            <w:pPr>
              <w:pStyle w:val="27"/>
              <w:keepNext w:val="0"/>
              <w:keepLines w:val="0"/>
              <w:suppressLineNumbers w:val="0"/>
              <w:spacing w:before="0" w:beforeAutospacing="0" w:after="0" w:afterAutospacing="0"/>
              <w:ind w:left="0" w:right="0"/>
              <w:rPr>
                <w:rFonts w:hint="default"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rPr>
              <w:t>规划产业园区建设应同步完善污水处理设施及管网建设；园区及园区企业主要污染物排放应控制在区域环境承载能力范围内，确保环境质量达标。</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5</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4" w:hRule="atLeast"/>
          <w:jc w:val="center"/>
        </w:trPr>
        <w:tc>
          <w:tcPr>
            <w:tcW w:w="1447"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294"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146"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7927"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开展环境风险评估，制定突发环境事件应急预案并备案，配备应急能力和物资，建设环境应急队伍，并定期演练。完善区域应急联动机制。</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土壤污染重点监管单位应当严格控制有毒有害物质排放，并按年度向所在地设区的市人民政府生态环境主管部门报告排放情况；建立土壤污染隐患排查制度，保证持续有效防止有毒有害物质渗漏、流失、扬散。</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尾矿库运营、管理单位应当加强尾矿库管理，完善污染治理设施，建立风险管控制度，开展环境风险隐患排查、风险管控与治理修复。危库、险库、病库以及其他需要重点监管的尾矿库的运营、管理单位应当按照规定进行土壤和地下水污染状况监测和定期评估，并建立污染事故应急处置机</w:t>
            </w:r>
            <w:r>
              <w:rPr>
                <w:rFonts w:hint="default"/>
                <w:color w:val="auto"/>
                <w:highlight w:val="none"/>
                <w:lang w:val="en-US" w:eastAsia="zh-CN"/>
              </w:rPr>
              <w:t>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4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ZH45022430001</w:t>
            </w:r>
          </w:p>
        </w:tc>
        <w:tc>
          <w:tcPr>
            <w:tcW w:w="2294"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融安县一般管控单元</w:t>
            </w:r>
          </w:p>
        </w:tc>
        <w:tc>
          <w:tcPr>
            <w:tcW w:w="114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一般管控单元</w:t>
            </w:r>
          </w:p>
        </w:tc>
        <w:tc>
          <w:tcPr>
            <w:tcW w:w="118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7927" w:type="dxa"/>
            <w:shd w:val="clear" w:color="auto" w:fill="auto"/>
            <w:vAlign w:val="center"/>
          </w:tcPr>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永久基本农田一经划定，任何单位和个人不得擅自占用或改变用途。禁止任何单位和个人破坏永久基本农田耕作层。对永久基本农田实行严格保护，确保其面积不减少、土壤环境质量不下降，除法律规定的重点建设项目选址确实无法避让外，其他任何建设不得占用。</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在永久基本农田集中区域，不得新建可能造成土壤污染的建设项目；已经建成的，应当限期关闭拆除。</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禁止将重金属或者其他有毒有害物质含量超标的工业固体废物、生活垃圾或者污染土壤用于土地复垦。</w:t>
            </w:r>
          </w:p>
        </w:tc>
      </w:tr>
    </w:tbl>
    <w:p>
      <w:pPr>
        <w:widowControl/>
        <w:jc w:val="left"/>
        <w:rPr>
          <w:rFonts w:hint="default" w:ascii="Times New Roman" w:hAnsi="Times New Roman" w:cs="Times New Roman"/>
          <w:strike w:val="0"/>
          <w:dstrike w:val="0"/>
          <w:color w:val="auto"/>
          <w:highlight w:val="none"/>
        </w:rPr>
      </w:pPr>
      <w:r>
        <w:rPr>
          <w:rFonts w:hint="default" w:ascii="Times New Roman" w:hAnsi="Times New Roman" w:cs="Times New Roman"/>
          <w:strike w:val="0"/>
          <w:dstrike w:val="0"/>
          <w:color w:val="auto"/>
          <w:highlight w:val="none"/>
        </w:rPr>
        <w:br w:type="page"/>
      </w:r>
    </w:p>
    <w:p>
      <w:pPr>
        <w:pStyle w:val="3"/>
        <w:rPr>
          <w:rFonts w:hint="default" w:ascii="Times New Roman" w:hAnsi="Times New Roman" w:cs="Times New Roman"/>
          <w:strike w:val="0"/>
          <w:dstrike w:val="0"/>
          <w:color w:val="auto"/>
          <w:highlight w:val="none"/>
        </w:rPr>
      </w:pPr>
      <w:bookmarkStart w:id="81" w:name="_Toc25203"/>
      <w:bookmarkStart w:id="82" w:name="_Toc30452"/>
      <w:bookmarkStart w:id="83" w:name="_Toc7811"/>
      <w:bookmarkStart w:id="84" w:name="_Toc3491"/>
      <w:bookmarkStart w:id="85" w:name="_Toc23617"/>
      <w:bookmarkStart w:id="86" w:name="_Toc30290"/>
      <w:bookmarkStart w:id="87" w:name="_Toc27601846"/>
      <w:bookmarkStart w:id="88" w:name="_Toc5793"/>
      <w:bookmarkStart w:id="89" w:name="_Toc16479"/>
      <w:bookmarkStart w:id="90" w:name="_Toc23218"/>
      <w:bookmarkStart w:id="91" w:name="_Toc30995"/>
      <w:r>
        <w:rPr>
          <w:rFonts w:hint="default" w:ascii="Times New Roman" w:hAnsi="Times New Roman" w:cs="Times New Roman"/>
          <w:strike w:val="0"/>
          <w:dstrike w:val="0"/>
          <w:color w:val="auto"/>
          <w:highlight w:val="none"/>
        </w:rPr>
        <w:t>9</w:t>
      </w:r>
      <w:r>
        <w:rPr>
          <w:rFonts w:hint="default" w:ascii="Times New Roman" w:hAnsi="Times New Roman" w:cs="Times New Roman"/>
          <w:strike w:val="0"/>
          <w:dstrike w:val="0"/>
          <w:color w:val="auto"/>
          <w:highlight w:val="none"/>
          <w:lang w:val="en-US" w:eastAsia="zh-CN"/>
        </w:rPr>
        <w:t xml:space="preserve"> </w:t>
      </w:r>
      <w:r>
        <w:rPr>
          <w:rFonts w:hint="default" w:ascii="Times New Roman" w:hAnsi="Times New Roman" w:cs="Times New Roman"/>
          <w:strike w:val="0"/>
          <w:dstrike w:val="0"/>
          <w:color w:val="auto"/>
          <w:highlight w:val="none"/>
        </w:rPr>
        <w:t>融水苗族自治县</w:t>
      </w:r>
      <w:bookmarkEnd w:id="81"/>
      <w:bookmarkEnd w:id="82"/>
      <w:bookmarkEnd w:id="83"/>
      <w:bookmarkEnd w:id="84"/>
      <w:bookmarkEnd w:id="85"/>
      <w:bookmarkEnd w:id="86"/>
      <w:bookmarkEnd w:id="87"/>
      <w:bookmarkEnd w:id="88"/>
      <w:bookmarkEnd w:id="89"/>
      <w:bookmarkEnd w:id="90"/>
      <w:bookmarkEnd w:id="91"/>
    </w:p>
    <w:p>
      <w:pPr>
        <w:pStyle w:val="25"/>
        <w:rPr>
          <w:rFonts w:hint="default" w:ascii="Times New Roman" w:hAnsi="Times New Roman" w:cs="Times New Roman"/>
          <w:strike w:val="0"/>
          <w:dstrike w:val="0"/>
          <w:color w:val="auto"/>
          <w:highlight w:val="none"/>
        </w:rPr>
      </w:pPr>
      <w:r>
        <w:rPr>
          <w:rFonts w:hint="default" w:ascii="Times New Roman" w:hAnsi="Times New Roman" w:cs="Times New Roman"/>
          <w:strike w:val="0"/>
          <w:dstrike w:val="0"/>
          <w:color w:val="auto"/>
          <w:highlight w:val="none"/>
        </w:rPr>
        <w:t>表</w:t>
      </w:r>
      <w:r>
        <w:rPr>
          <w:rFonts w:hint="default" w:ascii="Times New Roman" w:hAnsi="Times New Roman" w:cs="Times New Roman"/>
          <w:strike w:val="0"/>
          <w:dstrike w:val="0"/>
          <w:color w:val="auto"/>
          <w:highlight w:val="none"/>
          <w:lang w:val="en-US" w:eastAsia="zh-CN"/>
        </w:rPr>
        <w:t>9-1</w:t>
      </w:r>
      <w:r>
        <w:rPr>
          <w:rFonts w:hint="default" w:ascii="Times New Roman" w:hAnsi="Times New Roman" w:cs="Times New Roman"/>
          <w:strike w:val="0"/>
          <w:dstrike w:val="0"/>
          <w:color w:val="auto"/>
          <w:highlight w:val="none"/>
        </w:rPr>
        <w:t xml:space="preserve">  柳州市融水苗族自治县</w:t>
      </w:r>
      <w:r>
        <w:rPr>
          <w:rFonts w:hint="default" w:ascii="Times New Roman" w:hAnsi="Times New Roman" w:cs="Times New Roman"/>
          <w:strike w:val="0"/>
          <w:dstrike w:val="0"/>
          <w:color w:val="auto"/>
          <w:highlight w:val="none"/>
          <w:lang w:val="en-US" w:eastAsia="zh-CN"/>
        </w:rPr>
        <w:t>生态环境准入及管控要求</w:t>
      </w:r>
    </w:p>
    <w:tbl>
      <w:tblPr>
        <w:tblStyle w:val="15"/>
        <w:tblW w:w="14221" w:type="dxa"/>
        <w:jc w:val="center"/>
        <w:tblInd w:w="-10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2160"/>
        <w:gridCol w:w="1253"/>
        <w:gridCol w:w="1147"/>
        <w:gridCol w:w="8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tblHeader/>
          <w:jc w:val="center"/>
        </w:trPr>
        <w:tc>
          <w:tcPr>
            <w:tcW w:w="1344"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环境管控单元编码</w:t>
            </w:r>
          </w:p>
        </w:tc>
        <w:tc>
          <w:tcPr>
            <w:tcW w:w="2160"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环境管控单元名称</w:t>
            </w:r>
          </w:p>
        </w:tc>
        <w:tc>
          <w:tcPr>
            <w:tcW w:w="1253" w:type="dxa"/>
            <w:shd w:val="clear" w:color="auto" w:fill="auto"/>
            <w:vAlign w:val="center"/>
          </w:tcPr>
          <w:p>
            <w:pPr>
              <w:pStyle w:val="29"/>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环境管控单元类别</w:t>
            </w:r>
          </w:p>
        </w:tc>
        <w:tc>
          <w:tcPr>
            <w:tcW w:w="9464" w:type="dxa"/>
            <w:gridSpan w:val="2"/>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b/>
                <w:bCs/>
                <w:color w:val="auto"/>
                <w:highlight w:val="none"/>
                <w:lang w:val="en-US" w:eastAsia="zh-CN"/>
              </w:rPr>
              <w:t>生态环境准入及管控要求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4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ZH45022510001</w:t>
            </w:r>
          </w:p>
        </w:tc>
        <w:tc>
          <w:tcPr>
            <w:tcW w:w="216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rPr>
            </w:pPr>
            <w:r>
              <w:rPr>
                <w:rFonts w:hint="default" w:eastAsiaTheme="minorEastAsia"/>
                <w:color w:val="auto"/>
                <w:highlight w:val="none"/>
              </w:rPr>
              <w:t>广西九万山国家级自然保护区生态保护红线</w:t>
            </w:r>
          </w:p>
        </w:tc>
        <w:tc>
          <w:tcPr>
            <w:tcW w:w="125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17" w:type="dxa"/>
            <w:shd w:val="clear" w:color="auto" w:fill="auto"/>
            <w:vAlign w:val="center"/>
          </w:tcPr>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1</w:t>
            </w:r>
            <w:r>
              <w:rPr>
                <w:rFonts w:hint="default"/>
                <w:color w:val="auto"/>
                <w:highlight w:val="none"/>
                <w:lang w:eastAsia="zh-CN"/>
              </w:rPr>
              <w:t>．</w:t>
            </w:r>
            <w:r>
              <w:rPr>
                <w:rFonts w:hint="default"/>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2</w:t>
            </w:r>
            <w:r>
              <w:rPr>
                <w:rFonts w:hint="default"/>
                <w:color w:val="auto"/>
                <w:highlight w:val="none"/>
                <w:lang w:eastAsia="zh-CN"/>
              </w:rPr>
              <w:t>．</w:t>
            </w:r>
            <w:r>
              <w:rPr>
                <w:rFonts w:hint="default"/>
                <w:color w:val="auto"/>
                <w:highlight w:val="none"/>
              </w:rPr>
              <w:t>核心保护区内，除满足国家特殊战略需要的有关活动外，原则上禁止人为活动；一般控制区内，除满足国家特殊战略需要的有关活动外，原则上禁止开发性、生产性建设活动，仅允许对生态功能不造成破坏的有限人为活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3</w:t>
            </w:r>
            <w:r>
              <w:rPr>
                <w:rFonts w:hint="default"/>
                <w:color w:val="auto"/>
                <w:highlight w:val="none"/>
                <w:lang w:eastAsia="zh-CN"/>
              </w:rPr>
              <w:t>．</w:t>
            </w:r>
            <w:r>
              <w:rPr>
                <w:rFonts w:hint="default"/>
                <w:color w:val="auto"/>
                <w:highlight w:val="none"/>
              </w:rPr>
              <w:t>前述所列有限人为活动按照《中共中央办公厅 国务院办公厅印发＜关于在国土空间规划中统筹划定落实三条控制线的指导意见＞》和</w:t>
            </w:r>
            <w:r>
              <w:rPr>
                <w:rFonts w:hint="eastAsia"/>
                <w:color w:val="auto"/>
                <w:highlight w:val="none"/>
                <w:lang w:eastAsia="zh-CN"/>
              </w:rPr>
              <w:t>自治区级</w:t>
            </w:r>
            <w:r>
              <w:rPr>
                <w:rFonts w:hint="default"/>
                <w:color w:val="auto"/>
                <w:highlight w:val="none"/>
              </w:rPr>
              <w:t>环境管控及准入要求清单进行。</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4</w:t>
            </w:r>
            <w:r>
              <w:rPr>
                <w:rFonts w:hint="default"/>
                <w:color w:val="auto"/>
                <w:highlight w:val="none"/>
                <w:lang w:eastAsia="zh-CN"/>
              </w:rPr>
              <w:t>．</w:t>
            </w:r>
            <w:r>
              <w:rPr>
                <w:rFonts w:hint="default"/>
                <w:color w:val="auto"/>
                <w:highlight w:val="none"/>
              </w:rPr>
              <w:t>自然保护区以及生态公益林、天然林还需执行国家、自治区以及市县相应法律法规要求。</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olor w:val="auto"/>
                <w:highlight w:val="none"/>
              </w:rPr>
              <w:t>5</w:t>
            </w:r>
            <w:r>
              <w:rPr>
                <w:rFonts w:hint="default"/>
                <w:color w:val="auto"/>
                <w:highlight w:val="none"/>
                <w:lang w:eastAsia="zh-CN"/>
              </w:rPr>
              <w:t>．</w:t>
            </w:r>
            <w:r>
              <w:rPr>
                <w:rFonts w:hint="default"/>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4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ZH45022510002</w:t>
            </w:r>
          </w:p>
        </w:tc>
        <w:tc>
          <w:tcPr>
            <w:tcW w:w="216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广西柳州泗涧山大鲵自治区级自然保护区生态保护红线</w:t>
            </w:r>
          </w:p>
        </w:tc>
        <w:tc>
          <w:tcPr>
            <w:tcW w:w="125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17" w:type="dxa"/>
            <w:shd w:val="clear" w:color="auto" w:fill="auto"/>
            <w:vAlign w:val="center"/>
          </w:tcPr>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1</w:t>
            </w:r>
            <w:r>
              <w:rPr>
                <w:rFonts w:hint="default"/>
                <w:color w:val="auto"/>
                <w:highlight w:val="none"/>
                <w:lang w:eastAsia="zh-CN"/>
              </w:rPr>
              <w:t>．</w:t>
            </w:r>
            <w:r>
              <w:rPr>
                <w:rFonts w:hint="default"/>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2</w:t>
            </w:r>
            <w:r>
              <w:rPr>
                <w:rFonts w:hint="default"/>
                <w:color w:val="auto"/>
                <w:highlight w:val="none"/>
                <w:lang w:eastAsia="zh-CN"/>
              </w:rPr>
              <w:t>．</w:t>
            </w:r>
            <w:r>
              <w:rPr>
                <w:rFonts w:hint="default"/>
                <w:color w:val="auto"/>
                <w:highlight w:val="none"/>
              </w:rPr>
              <w:t>核心保护区内，除满足国家特殊战略需要的有关活动外，原则上禁止人为活动；一般控制区内，除满足国家特殊战略需要的有关活动外，原则上禁止开发性、生产性建设活动，仅允许对生态功能不造成破坏的有限人为活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3</w:t>
            </w:r>
            <w:r>
              <w:rPr>
                <w:rFonts w:hint="default"/>
                <w:color w:val="auto"/>
                <w:highlight w:val="none"/>
                <w:lang w:eastAsia="zh-CN"/>
              </w:rPr>
              <w:t>．</w:t>
            </w:r>
            <w:r>
              <w:rPr>
                <w:rFonts w:hint="default"/>
                <w:color w:val="auto"/>
                <w:highlight w:val="none"/>
              </w:rPr>
              <w:t>前述所列有限人为活动按照《中共中央办公厅 国务院办公厅印发＜关于在国土空间规划中统筹划定落实三条控制线的指导意见＞》和</w:t>
            </w:r>
            <w:r>
              <w:rPr>
                <w:rFonts w:hint="eastAsia"/>
                <w:color w:val="auto"/>
                <w:highlight w:val="none"/>
                <w:lang w:eastAsia="zh-CN"/>
              </w:rPr>
              <w:t>自治区级</w:t>
            </w:r>
            <w:r>
              <w:rPr>
                <w:rFonts w:hint="default"/>
                <w:color w:val="auto"/>
                <w:highlight w:val="none"/>
              </w:rPr>
              <w:t>环境管控及准入要求清单进行。</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4</w:t>
            </w:r>
            <w:r>
              <w:rPr>
                <w:rFonts w:hint="default"/>
                <w:color w:val="auto"/>
                <w:highlight w:val="none"/>
                <w:lang w:eastAsia="zh-CN"/>
              </w:rPr>
              <w:t>．</w:t>
            </w:r>
            <w:r>
              <w:rPr>
                <w:rFonts w:hint="default"/>
                <w:color w:val="auto"/>
                <w:highlight w:val="none"/>
              </w:rPr>
              <w:t>自然保护区以及生态公益林、天然林还需执行国家、自治区以及市县相应法律法规要求。</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olor w:val="auto"/>
                <w:highlight w:val="none"/>
              </w:rPr>
              <w:t>5</w:t>
            </w:r>
            <w:r>
              <w:rPr>
                <w:rFonts w:hint="default"/>
                <w:color w:val="auto"/>
                <w:highlight w:val="none"/>
                <w:lang w:eastAsia="zh-CN"/>
              </w:rPr>
              <w:t>．</w:t>
            </w:r>
            <w:r>
              <w:rPr>
                <w:rFonts w:hint="default"/>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9" w:hRule="atLeast"/>
          <w:jc w:val="center"/>
        </w:trPr>
        <w:tc>
          <w:tcPr>
            <w:tcW w:w="134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ZH45022510003</w:t>
            </w:r>
          </w:p>
        </w:tc>
        <w:tc>
          <w:tcPr>
            <w:tcW w:w="216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广西元宝山国家级自然保护区生态保护红线</w:t>
            </w:r>
          </w:p>
        </w:tc>
        <w:tc>
          <w:tcPr>
            <w:tcW w:w="125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17" w:type="dxa"/>
            <w:shd w:val="clear" w:color="auto" w:fill="auto"/>
            <w:vAlign w:val="center"/>
          </w:tcPr>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1</w:t>
            </w:r>
            <w:r>
              <w:rPr>
                <w:rFonts w:hint="default"/>
                <w:color w:val="auto"/>
                <w:highlight w:val="none"/>
                <w:lang w:eastAsia="zh-CN"/>
              </w:rPr>
              <w:t>．</w:t>
            </w:r>
            <w:r>
              <w:rPr>
                <w:rFonts w:hint="default"/>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2</w:t>
            </w:r>
            <w:r>
              <w:rPr>
                <w:rFonts w:hint="default"/>
                <w:color w:val="auto"/>
                <w:highlight w:val="none"/>
                <w:lang w:eastAsia="zh-CN"/>
              </w:rPr>
              <w:t>．</w:t>
            </w:r>
            <w:r>
              <w:rPr>
                <w:rFonts w:hint="default"/>
                <w:color w:val="auto"/>
                <w:highlight w:val="none"/>
              </w:rPr>
              <w:t>核心保护区内，除满足国家特殊战略需要的有关活动外，原则上禁止人为活动；一般控制区内，除满足国家特殊战略需要的有关活动外，原则上禁止开发性、生产性建设活动，仅允许对生态功能不造成破坏的有限人为活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3</w:t>
            </w:r>
            <w:r>
              <w:rPr>
                <w:rFonts w:hint="default"/>
                <w:color w:val="auto"/>
                <w:highlight w:val="none"/>
                <w:lang w:eastAsia="zh-CN"/>
              </w:rPr>
              <w:t>．</w:t>
            </w:r>
            <w:r>
              <w:rPr>
                <w:rFonts w:hint="default"/>
                <w:color w:val="auto"/>
                <w:highlight w:val="none"/>
              </w:rPr>
              <w:t>前述所列有限人为活动按照《中共中央办公厅 国务院办公厅印发＜关于在国土空间规划中统筹划定落实三条控制线的指导意见＞》和</w:t>
            </w:r>
            <w:r>
              <w:rPr>
                <w:rFonts w:hint="eastAsia"/>
                <w:color w:val="auto"/>
                <w:highlight w:val="none"/>
                <w:lang w:eastAsia="zh-CN"/>
              </w:rPr>
              <w:t>自治区级</w:t>
            </w:r>
            <w:r>
              <w:rPr>
                <w:rFonts w:hint="default"/>
                <w:color w:val="auto"/>
                <w:highlight w:val="none"/>
              </w:rPr>
              <w:t>环境管控及准入要求清单进行。</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4</w:t>
            </w:r>
            <w:r>
              <w:rPr>
                <w:rFonts w:hint="default"/>
                <w:color w:val="auto"/>
                <w:highlight w:val="none"/>
                <w:lang w:eastAsia="zh-CN"/>
              </w:rPr>
              <w:t>．</w:t>
            </w:r>
            <w:r>
              <w:rPr>
                <w:rFonts w:hint="default"/>
                <w:color w:val="auto"/>
                <w:highlight w:val="none"/>
              </w:rPr>
              <w:t>自然保护区</w:t>
            </w:r>
            <w:r>
              <w:rPr>
                <w:rFonts w:hint="default"/>
                <w:color w:val="auto"/>
                <w:highlight w:val="none"/>
                <w:lang w:eastAsia="zh-CN"/>
              </w:rPr>
              <w:t>、</w:t>
            </w:r>
            <w:r>
              <w:rPr>
                <w:rFonts w:hint="default" w:eastAsiaTheme="minorEastAsia"/>
                <w:color w:val="auto"/>
                <w:highlight w:val="none"/>
              </w:rPr>
              <w:t>风景名胜区</w:t>
            </w:r>
            <w:r>
              <w:rPr>
                <w:rFonts w:hint="default"/>
                <w:color w:val="auto"/>
                <w:highlight w:val="none"/>
              </w:rPr>
              <w:t>以及生态公益林、天然林还需执行国家、自治区以及市县相应法律法规要求。</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olor w:val="auto"/>
                <w:highlight w:val="none"/>
              </w:rPr>
              <w:t>5</w:t>
            </w:r>
            <w:r>
              <w:rPr>
                <w:rFonts w:hint="default"/>
                <w:color w:val="auto"/>
                <w:highlight w:val="none"/>
                <w:lang w:eastAsia="zh-CN"/>
              </w:rPr>
              <w:t>．</w:t>
            </w:r>
            <w:r>
              <w:rPr>
                <w:rFonts w:hint="default"/>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3" w:hRule="atLeast"/>
          <w:jc w:val="center"/>
        </w:trPr>
        <w:tc>
          <w:tcPr>
            <w:tcW w:w="134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ZH45022510004</w:t>
            </w:r>
          </w:p>
        </w:tc>
        <w:tc>
          <w:tcPr>
            <w:tcW w:w="216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广西元宝山国家森林公园生态保护红线</w:t>
            </w:r>
          </w:p>
        </w:tc>
        <w:tc>
          <w:tcPr>
            <w:tcW w:w="125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kern w:val="0"/>
                <w:highlight w:val="none"/>
              </w:rPr>
              <w:t>优先保护单元</w:t>
            </w: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kern w:val="0"/>
                <w:highlight w:val="none"/>
              </w:rPr>
              <w:t>空间布局约束</w:t>
            </w:r>
          </w:p>
        </w:tc>
        <w:tc>
          <w:tcPr>
            <w:tcW w:w="8317" w:type="dxa"/>
            <w:shd w:val="clear" w:color="auto" w:fill="auto"/>
            <w:vAlign w:val="center"/>
          </w:tcPr>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1</w:t>
            </w:r>
            <w:r>
              <w:rPr>
                <w:rFonts w:hint="default"/>
                <w:color w:val="auto"/>
                <w:highlight w:val="none"/>
                <w:lang w:eastAsia="zh-CN"/>
              </w:rPr>
              <w:t>．</w:t>
            </w:r>
            <w:r>
              <w:rPr>
                <w:rFonts w:hint="default"/>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2</w:t>
            </w:r>
            <w:r>
              <w:rPr>
                <w:rFonts w:hint="default"/>
                <w:color w:val="auto"/>
                <w:highlight w:val="none"/>
                <w:lang w:eastAsia="zh-CN"/>
              </w:rPr>
              <w:t>．</w:t>
            </w:r>
            <w:r>
              <w:rPr>
                <w:rFonts w:hint="default"/>
                <w:color w:val="auto"/>
                <w:highlight w:val="none"/>
              </w:rPr>
              <w:t>核心保护区内，除满足国家特殊战略需要的有关活动外，原则上禁止人为活动；一般控制区内，除满足国家特殊战略需要的有关活动外，原则上禁止开发性、生产性建设活动，仅允许对生态功能不造成破坏的有限人为活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3</w:t>
            </w:r>
            <w:r>
              <w:rPr>
                <w:rFonts w:hint="default"/>
                <w:color w:val="auto"/>
                <w:highlight w:val="none"/>
                <w:lang w:eastAsia="zh-CN"/>
              </w:rPr>
              <w:t>．</w:t>
            </w:r>
            <w:r>
              <w:rPr>
                <w:rFonts w:hint="default"/>
                <w:color w:val="auto"/>
                <w:highlight w:val="none"/>
              </w:rPr>
              <w:t>前述所列有限人为活动按照《中共中央办公厅 国务院办公厅印发＜关于在国土空间规划中统筹划定落实三条控制线的指导意见＞》和</w:t>
            </w:r>
            <w:r>
              <w:rPr>
                <w:rFonts w:hint="eastAsia"/>
                <w:color w:val="auto"/>
                <w:highlight w:val="none"/>
                <w:lang w:eastAsia="zh-CN"/>
              </w:rPr>
              <w:t>自治区级</w:t>
            </w:r>
            <w:r>
              <w:rPr>
                <w:rFonts w:hint="default"/>
                <w:color w:val="auto"/>
                <w:highlight w:val="none"/>
              </w:rPr>
              <w:t>环境管控及准入要求清单进行。</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4</w:t>
            </w:r>
            <w:r>
              <w:rPr>
                <w:rFonts w:hint="default"/>
                <w:color w:val="auto"/>
                <w:highlight w:val="none"/>
                <w:lang w:eastAsia="zh-CN"/>
              </w:rPr>
              <w:t>．</w:t>
            </w:r>
            <w:r>
              <w:rPr>
                <w:rFonts w:hint="default"/>
                <w:color w:val="auto"/>
                <w:highlight w:val="none"/>
              </w:rPr>
              <w:t>森林公园、</w:t>
            </w:r>
            <w:r>
              <w:rPr>
                <w:rFonts w:hint="default" w:eastAsiaTheme="minorEastAsia"/>
                <w:color w:val="auto"/>
                <w:highlight w:val="none"/>
              </w:rPr>
              <w:t>风景名胜区</w:t>
            </w:r>
            <w:r>
              <w:rPr>
                <w:rFonts w:hint="default"/>
                <w:color w:val="auto"/>
                <w:highlight w:val="none"/>
              </w:rPr>
              <w:t>以及生态公益林、天然林还需执行国家、自治区以及市县相应法律法规要求。</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olor w:val="auto"/>
                <w:highlight w:val="none"/>
              </w:rPr>
              <w:t>5</w:t>
            </w:r>
            <w:r>
              <w:rPr>
                <w:rFonts w:hint="default"/>
                <w:color w:val="auto"/>
                <w:highlight w:val="none"/>
                <w:lang w:eastAsia="zh-CN"/>
              </w:rPr>
              <w:t>．</w:t>
            </w:r>
            <w:r>
              <w:rPr>
                <w:rFonts w:hint="default"/>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5" w:hRule="atLeast"/>
          <w:jc w:val="center"/>
        </w:trPr>
        <w:tc>
          <w:tcPr>
            <w:tcW w:w="134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ZH45022510005</w:t>
            </w:r>
          </w:p>
        </w:tc>
        <w:tc>
          <w:tcPr>
            <w:tcW w:w="216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桂北山地水源涵养与生物多样性维护生态保护红线</w:t>
            </w:r>
          </w:p>
        </w:tc>
        <w:tc>
          <w:tcPr>
            <w:tcW w:w="125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17" w:type="dxa"/>
            <w:shd w:val="clear" w:color="auto" w:fill="auto"/>
            <w:vAlign w:val="center"/>
          </w:tcPr>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1</w:t>
            </w:r>
            <w:r>
              <w:rPr>
                <w:rFonts w:hint="default"/>
                <w:color w:val="auto"/>
                <w:highlight w:val="none"/>
                <w:lang w:eastAsia="zh-CN"/>
              </w:rPr>
              <w:t>．</w:t>
            </w:r>
            <w:r>
              <w:rPr>
                <w:rFonts w:hint="default"/>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2</w:t>
            </w:r>
            <w:r>
              <w:rPr>
                <w:rFonts w:hint="default"/>
                <w:color w:val="auto"/>
                <w:highlight w:val="none"/>
                <w:lang w:eastAsia="zh-CN"/>
              </w:rPr>
              <w:t>．</w:t>
            </w:r>
            <w:r>
              <w:rPr>
                <w:rFonts w:hint="default"/>
                <w:color w:val="auto"/>
                <w:highlight w:val="none"/>
              </w:rPr>
              <w:t>在符合现行法律法规前提下，除国家重大战略项目外，仅允许对生态功能不造成破坏的有限人为活动。</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3</w:t>
            </w:r>
            <w:r>
              <w:rPr>
                <w:rFonts w:hint="default"/>
                <w:color w:val="auto"/>
                <w:highlight w:val="none"/>
                <w:lang w:eastAsia="zh-CN"/>
              </w:rPr>
              <w:t>．</w:t>
            </w:r>
            <w:r>
              <w:rPr>
                <w:rFonts w:hint="default"/>
                <w:color w:val="auto"/>
                <w:highlight w:val="none"/>
              </w:rPr>
              <w:t>前述所列有限人为活动按照《中共中央办公厅 国务院办公厅印发＜关于在国土空间规划中统筹划定落实三条控制线的指导意见＞》和</w:t>
            </w:r>
            <w:r>
              <w:rPr>
                <w:rFonts w:hint="eastAsia"/>
                <w:color w:val="auto"/>
                <w:highlight w:val="none"/>
                <w:lang w:eastAsia="zh-CN"/>
              </w:rPr>
              <w:t>自治区级</w:t>
            </w:r>
            <w:r>
              <w:rPr>
                <w:rFonts w:hint="default"/>
                <w:color w:val="auto"/>
                <w:highlight w:val="none"/>
              </w:rPr>
              <w:t>环境管控及准入要求清单进行。</w:t>
            </w:r>
          </w:p>
          <w:p>
            <w:pPr>
              <w:pStyle w:val="27"/>
              <w:keepNext w:val="0"/>
              <w:keepLines w:val="0"/>
              <w:suppressLineNumbers w:val="0"/>
              <w:spacing w:before="0" w:beforeAutospacing="0" w:after="0" w:afterAutospacing="0"/>
              <w:ind w:left="0" w:right="0"/>
              <w:jc w:val="left"/>
              <w:rPr>
                <w:rFonts w:hint="default"/>
                <w:color w:val="auto"/>
                <w:highlight w:val="none"/>
              </w:rPr>
            </w:pPr>
            <w:r>
              <w:rPr>
                <w:rFonts w:hint="default"/>
                <w:color w:val="auto"/>
                <w:highlight w:val="none"/>
              </w:rPr>
              <w:t>4</w:t>
            </w:r>
            <w:r>
              <w:rPr>
                <w:rFonts w:hint="default"/>
                <w:color w:val="auto"/>
                <w:highlight w:val="none"/>
                <w:lang w:eastAsia="zh-CN"/>
              </w:rPr>
              <w:t>．</w:t>
            </w:r>
            <w:r>
              <w:rPr>
                <w:rFonts w:hint="default"/>
                <w:color w:val="auto"/>
                <w:highlight w:val="none"/>
              </w:rPr>
              <w:t>饮用水水源保护区</w:t>
            </w:r>
            <w:r>
              <w:rPr>
                <w:rFonts w:hint="default"/>
                <w:color w:val="auto"/>
                <w:highlight w:val="none"/>
                <w:lang w:eastAsia="zh-CN"/>
              </w:rPr>
              <w:t>、</w:t>
            </w:r>
            <w:r>
              <w:rPr>
                <w:rFonts w:hint="default" w:eastAsiaTheme="minorEastAsia"/>
                <w:color w:val="auto"/>
                <w:highlight w:val="none"/>
              </w:rPr>
              <w:t>风景名胜区</w:t>
            </w:r>
            <w:r>
              <w:rPr>
                <w:rFonts w:hint="default"/>
                <w:color w:val="auto"/>
                <w:highlight w:val="none"/>
              </w:rPr>
              <w:t>以及生态公益林、天然林还需执行国家、自治区以及市县相应法律法规要求。</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olor w:val="auto"/>
                <w:highlight w:val="none"/>
              </w:rPr>
              <w:t>5</w:t>
            </w:r>
            <w:r>
              <w:rPr>
                <w:rFonts w:hint="default"/>
                <w:color w:val="auto"/>
                <w:highlight w:val="none"/>
                <w:lang w:eastAsia="zh-CN"/>
              </w:rPr>
              <w:t>．</w:t>
            </w:r>
            <w:r>
              <w:rPr>
                <w:rFonts w:hint="default"/>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8" w:hRule="atLeast"/>
          <w:jc w:val="center"/>
        </w:trPr>
        <w:tc>
          <w:tcPr>
            <w:tcW w:w="134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ZH45022510006</w:t>
            </w:r>
          </w:p>
        </w:tc>
        <w:tc>
          <w:tcPr>
            <w:tcW w:w="216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柳江-黔江流域水源涵养生态保护红线</w:t>
            </w:r>
          </w:p>
        </w:tc>
        <w:tc>
          <w:tcPr>
            <w:tcW w:w="1253"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147"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17" w:type="dxa"/>
            <w:shd w:val="clear" w:color="auto" w:fill="auto"/>
            <w:vAlign w:val="center"/>
          </w:tcPr>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w:t>
            </w:r>
            <w:r>
              <w:rPr>
                <w:rFonts w:hint="default" w:eastAsiaTheme="minorEastAsia"/>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在符合现行法律法规前提下，除国家重大战略项目外，仅允许对生态功能不造成破坏的有限人为活动。</w:t>
            </w:r>
          </w:p>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3</w:t>
            </w:r>
            <w:r>
              <w:rPr>
                <w:rFonts w:hint="default" w:eastAsiaTheme="minorEastAsia"/>
                <w:color w:val="auto"/>
                <w:highlight w:val="none"/>
                <w:lang w:eastAsia="zh-CN"/>
              </w:rPr>
              <w:t>．</w:t>
            </w:r>
            <w:r>
              <w:rPr>
                <w:rFonts w:hint="default" w:eastAsiaTheme="minorEastAsia"/>
                <w:color w:val="auto"/>
                <w:highlight w:val="none"/>
              </w:rPr>
              <w:t>前述所列有限人为活动按照《中共中央办公厅 国务院办公厅印发＜关于在国土空间规划中统筹划定落实三条控制线的指导意见＞》和</w:t>
            </w:r>
            <w:r>
              <w:rPr>
                <w:rFonts w:hint="eastAsia"/>
                <w:color w:val="auto"/>
                <w:highlight w:val="none"/>
                <w:lang w:eastAsia="zh-CN"/>
              </w:rPr>
              <w:t>自治区级</w:t>
            </w:r>
            <w:r>
              <w:rPr>
                <w:rFonts w:hint="default" w:eastAsiaTheme="minorEastAsia"/>
                <w:color w:val="auto"/>
                <w:highlight w:val="none"/>
              </w:rPr>
              <w:t>环境管控及准入要求清单进行。</w:t>
            </w:r>
          </w:p>
          <w:p>
            <w:pPr>
              <w:pStyle w:val="27"/>
              <w:keepNext w:val="0"/>
              <w:keepLines w:val="0"/>
              <w:suppressLineNumbers w:val="0"/>
              <w:spacing w:before="0" w:beforeAutospacing="0" w:after="0" w:afterAutospacing="0"/>
              <w:ind w:left="0" w:right="0"/>
              <w:jc w:val="left"/>
              <w:rPr>
                <w:rFonts w:hint="default" w:eastAsiaTheme="minorEastAsia"/>
                <w:color w:val="auto"/>
                <w:highlight w:val="none"/>
              </w:rPr>
            </w:pPr>
            <w:r>
              <w:rPr>
                <w:rFonts w:hint="default" w:eastAsiaTheme="minorEastAsia"/>
                <w:color w:val="auto"/>
                <w:highlight w:val="none"/>
              </w:rPr>
              <w:t>4</w:t>
            </w:r>
            <w:r>
              <w:rPr>
                <w:rFonts w:hint="default" w:eastAsiaTheme="minorEastAsia"/>
                <w:color w:val="auto"/>
                <w:highlight w:val="none"/>
                <w:lang w:eastAsia="zh-CN"/>
              </w:rPr>
              <w:t>．</w:t>
            </w:r>
            <w:r>
              <w:rPr>
                <w:rFonts w:hint="default" w:eastAsiaTheme="minorEastAsia"/>
                <w:color w:val="auto"/>
                <w:highlight w:val="none"/>
              </w:rPr>
              <w:t>生态公益林、天然林还需执行国家、自治区以及市县相应法律法规要求。</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5</w:t>
            </w:r>
            <w:r>
              <w:rPr>
                <w:rFonts w:hint="default" w:eastAsiaTheme="minorEastAsia"/>
                <w:color w:val="auto"/>
                <w:highlight w:val="none"/>
                <w:lang w:eastAsia="zh-CN"/>
              </w:rPr>
              <w:t>．</w:t>
            </w:r>
            <w:r>
              <w:rPr>
                <w:rFonts w:hint="default" w:eastAsiaTheme="minorEastAsia"/>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4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strike w:val="0"/>
                <w:color w:val="auto"/>
                <w:highlight w:val="none"/>
              </w:rPr>
              <w:t>ZH45022510007</w:t>
            </w:r>
          </w:p>
        </w:tc>
        <w:tc>
          <w:tcPr>
            <w:tcW w:w="216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val="en-US" w:eastAsia="zh-CN"/>
              </w:rPr>
            </w:pPr>
            <w:r>
              <w:rPr>
                <w:rFonts w:hint="default" w:eastAsiaTheme="minorEastAsia"/>
                <w:color w:val="auto"/>
                <w:highlight w:val="none"/>
              </w:rPr>
              <w:t>融水县县城融江饮用水</w:t>
            </w:r>
            <w:r>
              <w:rPr>
                <w:rFonts w:hint="default" w:eastAsiaTheme="minorEastAsia"/>
                <w:color w:val="auto"/>
                <w:highlight w:val="none"/>
                <w:lang w:eastAsia="zh-CN"/>
              </w:rPr>
              <w:t>水源保护区</w:t>
            </w:r>
            <w:r>
              <w:rPr>
                <w:rFonts w:hint="default" w:eastAsiaTheme="minorEastAsia"/>
                <w:color w:val="auto"/>
                <w:highlight w:val="none"/>
              </w:rPr>
              <w:t>一般生态空间</w:t>
            </w:r>
          </w:p>
        </w:tc>
        <w:tc>
          <w:tcPr>
            <w:tcW w:w="125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cs="Times New Roman"/>
                <w:strike w:val="0"/>
                <w:dstrike w:val="0"/>
                <w:color w:val="auto"/>
                <w:szCs w:val="21"/>
                <w:highlight w:val="none"/>
                <w:lang w:val="en-US" w:eastAsia="zh-CN"/>
              </w:rPr>
              <w:t>优先保护单元</w:t>
            </w: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17" w:type="dxa"/>
            <w:shd w:val="clear" w:color="auto" w:fill="auto"/>
            <w:vAlign w:val="center"/>
          </w:tcPr>
          <w:p>
            <w:pPr>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按照《饮用水水源保护区污染防治管理规定》《中华人民共和国水污染防治法》《广西壮族自治区饮用水水源保护条例》《广西壮族自治区水污染防治条例》等相关法律法规进行管理。</w:t>
            </w:r>
          </w:p>
          <w:p>
            <w:pPr>
              <w:ind w:firstLine="0" w:firstLineChars="0"/>
              <w:jc w:val="left"/>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eastAsia="zh-CN"/>
              </w:rPr>
              <w:t>水源涵养功能（极）重要区</w:t>
            </w:r>
            <w:r>
              <w:rPr>
                <w:rFonts w:hint="default" w:ascii="Times New Roman" w:hAnsi="Times New Roman" w:cs="Times New Roman"/>
                <w:color w:val="auto"/>
                <w:highlight w:val="none"/>
                <w:lang w:eastAsia="zh-CN"/>
              </w:rPr>
              <w:t>内</w:t>
            </w:r>
            <w:r>
              <w:rPr>
                <w:rFonts w:hint="default" w:ascii="Times New Roman" w:hAnsi="Times New Roman" w:cs="Times New Roman"/>
                <w:color w:val="auto"/>
                <w:highlight w:val="none"/>
              </w:rPr>
              <w:t>严格保护具有水源涵养功能的自然植被，禁止过度放牧、无序采矿、毁林开荒，限制或禁止湿地和草地开垦等损害生态系统水源涵养功能的活动。加强生态公益林改造和建设，通过封育恢复自然植被，促使其逐步向常绿阔叶林演化，提高水源涵养的功能；林产业向合理利用与保护建设相结合的生态型林业方向发展，保持森林生长与采伐利用的动态平衡，兼顾生态效益和经济效益，逐步恢复和改善地力；加强水土保持。</w:t>
            </w:r>
          </w:p>
          <w:p>
            <w:pPr>
              <w:ind w:firstLine="0" w:firstLineChars="0"/>
              <w:jc w:val="left"/>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rPr>
              <w:t>依据《国家级公益林管理办法》（林资发〔2017〕34号）进行管理，严格控制勘查、开采矿藏和工程建设使用国家级公益林地。确需使用的，严格按照《建设项目使用林地审核审批管理办法》有关规定办理使用林地手续。涉及林木采伐的，按相关规定依法办理林木采伐手续。经审核审批同意使用的国家级公益林地，可按规定实行占补平衡。一级国家级公益林原则上不得开展生产经营活动，严禁打枝、采脂、割漆、剥树皮、掘根等行为。二级国家级公益林在不影响整体森林生态系统功能发挥的前提下，可以按照相关技术规程的规定开展抚育和更新性质的采伐。在不破坏森林植被的前提下，可以合理利用其林地资源，适度开展林下种植养殖和森林游憩等非木质资源开发与利用，科学发展林下经济。</w:t>
            </w:r>
          </w:p>
          <w:p>
            <w:pPr>
              <w:ind w:firstLine="0" w:firstLineChars="0"/>
              <w:jc w:val="left"/>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rPr>
              <w:t>对所有</w:t>
            </w:r>
            <w:r>
              <w:rPr>
                <w:rFonts w:hint="eastAsia" w:ascii="Times New Roman" w:hAnsi="Times New Roman" w:cs="Times New Roman"/>
                <w:color w:val="auto"/>
                <w:highlight w:val="none"/>
                <w:lang w:eastAsia="zh-CN"/>
              </w:rPr>
              <w:t>天然林</w:t>
            </w:r>
            <w:r>
              <w:rPr>
                <w:rFonts w:hint="default" w:ascii="Times New Roman" w:hAnsi="Times New Roman" w:cs="Times New Roman"/>
                <w:color w:val="auto"/>
                <w:highlight w:val="none"/>
              </w:rPr>
              <w:t>实行保护，禁止毁林开垦、将天然林改造为人工林以及其他破坏天然林及其生态环境的行为。对纳入保护重点区域的天然林，除森林病虫害防治、森林防火等维护天然林生态系统健康的必要措施外，禁止其他一切生产经营活动。开展天然林抚育作业的，必须编制作业设计，经林业主管部门审查批准后实施。严格控制天然林地转为其他用途，除国防建设、国家重大工程项目建设特色需要外，禁止占用保护重点区域的天然林地。在不破坏地表植被、不影响生物多样性保护前提下，可在天然林地适度发展生态旅游、休闲康养、特色种植养殖产业。</w:t>
            </w:r>
          </w:p>
          <w:p>
            <w:pPr>
              <w:keepNext w:val="0"/>
              <w:keepLines w:val="0"/>
              <w:suppressLineNumbers w:val="0"/>
              <w:spacing w:before="0" w:beforeAutospacing="0" w:after="0" w:afterAutospacing="0"/>
              <w:ind w:left="0" w:leftChars="0" w:right="0" w:rightChars="0"/>
              <w:jc w:val="left"/>
              <w:rPr>
                <w:rFonts w:hint="default" w:ascii="Times New Roman" w:hAnsi="Times New Roman" w:cs="Times New Roman" w:eastAsiaTheme="minorEastAsia"/>
                <w:strike/>
                <w:dstrike w:val="0"/>
                <w:color w:val="auto"/>
                <w:highlight w:val="none"/>
              </w:rPr>
            </w:pP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szCs w:val="24"/>
                <w:highlight w:val="none"/>
              </w:rPr>
              <w:t>2025年</w:t>
            </w:r>
            <w:r>
              <w:rPr>
                <w:rFonts w:hint="default" w:ascii="Times New Roman" w:hAnsi="Times New Roman" w:cs="Times New Roman"/>
                <w:color w:val="auto"/>
                <w:szCs w:val="24"/>
                <w:highlight w:val="none"/>
                <w:lang w:eastAsia="zh-CN"/>
              </w:rPr>
              <w:t>，</w:t>
            </w:r>
            <w:r>
              <w:rPr>
                <w:rFonts w:hint="default" w:ascii="Times New Roman" w:hAnsi="Times New Roman" w:cs="Times New Roman" w:eastAsiaTheme="minorEastAsia"/>
                <w:color w:val="auto"/>
                <w:highlight w:val="none"/>
              </w:rPr>
              <w:t>贝江口</w:t>
            </w:r>
            <w:r>
              <w:rPr>
                <w:rFonts w:hint="default" w:ascii="Times New Roman" w:hAnsi="Times New Roman" w:cs="Times New Roman"/>
                <w:color w:val="auto"/>
                <w:szCs w:val="24"/>
                <w:highlight w:val="none"/>
              </w:rPr>
              <w:t>国考断面水质</w:t>
            </w:r>
            <w:r>
              <w:rPr>
                <w:rFonts w:hint="eastAsia" w:ascii="Times New Roman" w:hAnsi="Times New Roman" w:cs="Times New Roman"/>
                <w:color w:val="auto"/>
                <w:szCs w:val="24"/>
                <w:highlight w:val="none"/>
                <w:lang w:eastAsia="zh-CN"/>
              </w:rPr>
              <w:t>拟执行Ⅱ类标准，最终以国家下达为准</w:t>
            </w:r>
            <w:r>
              <w:rPr>
                <w:rFonts w:hint="default" w:ascii="Times New Roman" w:hAnsi="Times New Roman" w:cs="Times New Roman"/>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5" w:hRule="atLeast"/>
          <w:jc w:val="center"/>
        </w:trPr>
        <w:tc>
          <w:tcPr>
            <w:tcW w:w="134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ZH45022510008</w:t>
            </w:r>
          </w:p>
        </w:tc>
        <w:tc>
          <w:tcPr>
            <w:tcW w:w="216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融水苗族自治县其他优先保护单元</w:t>
            </w:r>
          </w:p>
        </w:tc>
        <w:tc>
          <w:tcPr>
            <w:tcW w:w="125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优先保护单元</w:t>
            </w: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17" w:type="dxa"/>
            <w:shd w:val="clear" w:color="auto" w:fill="auto"/>
            <w:vAlign w:val="center"/>
          </w:tcPr>
          <w:p>
            <w:pPr>
              <w:pStyle w:val="27"/>
              <w:ind w:firstLine="0" w:firstLineChars="0"/>
              <w:rPr>
                <w:rFonts w:hint="default" w:eastAsiaTheme="minorEastAsia"/>
                <w:color w:val="auto"/>
                <w:highlight w:val="none"/>
              </w:rPr>
            </w:pPr>
            <w:r>
              <w:rPr>
                <w:rFonts w:hint="default" w:eastAsiaTheme="minorEastAsia"/>
                <w:color w:val="auto"/>
                <w:highlight w:val="none"/>
              </w:rPr>
              <w:t>1</w:t>
            </w:r>
            <w:r>
              <w:rPr>
                <w:rFonts w:hint="default" w:eastAsiaTheme="minorEastAsia"/>
                <w:color w:val="auto"/>
                <w:highlight w:val="none"/>
                <w:lang w:eastAsia="zh-CN"/>
              </w:rPr>
              <w:t>．除符合国土空间规划建设和布局要求，以及市级以上矿产资源总体规划、能源开发利用规划、线性工程规划外，原则上按限制开发区域的要求进行管理。</w:t>
            </w:r>
          </w:p>
          <w:p>
            <w:pPr>
              <w:pStyle w:val="27"/>
              <w:ind w:firstLine="0" w:firstLineChars="0"/>
              <w:rPr>
                <w:rFonts w:hint="default" w:eastAsiaTheme="minorEastAsia"/>
                <w:color w:val="auto"/>
                <w:highlight w:val="none"/>
              </w:rPr>
            </w:pPr>
            <w:r>
              <w:rPr>
                <w:rFonts w:hint="default" w:eastAsiaTheme="minorEastAsia"/>
                <w:color w:val="auto"/>
                <w:highlight w:val="none"/>
              </w:rPr>
              <w:t>2</w:t>
            </w:r>
            <w:r>
              <w:rPr>
                <w:rFonts w:hint="default" w:eastAsiaTheme="minorEastAsia"/>
                <w:color w:val="auto"/>
                <w:highlight w:val="none"/>
                <w:lang w:eastAsia="zh-CN"/>
              </w:rPr>
              <w:t>．</w:t>
            </w:r>
            <w:r>
              <w:rPr>
                <w:rFonts w:hint="default" w:eastAsiaTheme="minorEastAsia"/>
                <w:color w:val="auto"/>
                <w:highlight w:val="none"/>
              </w:rPr>
              <w:t>矿产资源开发活动、新能源建设项目以及线性工程项目等要符合法律法规以及主体功能区规划、生态功能区划、环境保护总体规划、行业规划等规划要求，不得破坏生态、降低环境质量。要优化项目选址布局，严格控制开采量和开采区域，减少对生态空间的占用，不影响区域主导生态功能。要采取更加严格和有效的预防和保护措施，避免和减轻开发活动造成的生态破坏和环境污染。要严格落实项目环评的跟踪监测计划，项目开采（开工）、闭矿、跟踪监测要及时向所在地生态环境部门进行报备。加强矿山开采项目及其闭矿的环保督察，开展矿山区域生态环境质量飞行抽检。乡村振兴项目建设的审批简化和豁免要符合有关规定，不得影响区域主导生态功能、降低区域生态环境质量。</w:t>
            </w:r>
          </w:p>
          <w:p>
            <w:pPr>
              <w:pStyle w:val="27"/>
              <w:ind w:firstLine="0" w:firstLineChars="0"/>
              <w:rPr>
                <w:rFonts w:hint="default" w:eastAsiaTheme="minorEastAsia"/>
                <w:color w:val="auto"/>
                <w:highlight w:val="none"/>
              </w:rPr>
            </w:pPr>
            <w:r>
              <w:rPr>
                <w:rFonts w:hint="default" w:eastAsiaTheme="minorEastAsia"/>
                <w:color w:val="auto"/>
                <w:highlight w:val="none"/>
                <w:lang w:val="en-US" w:eastAsia="zh-CN"/>
              </w:rPr>
              <w:t>3．</w:t>
            </w:r>
            <w:r>
              <w:rPr>
                <w:rFonts w:hint="default" w:eastAsiaTheme="minorEastAsia"/>
                <w:color w:val="auto"/>
                <w:highlight w:val="none"/>
              </w:rPr>
              <w:t>（极）重度石漠化区</w:t>
            </w:r>
            <w:r>
              <w:rPr>
                <w:rFonts w:hint="default" w:eastAsiaTheme="minorEastAsia"/>
                <w:color w:val="auto"/>
                <w:highlight w:val="none"/>
                <w:lang w:eastAsia="zh-CN"/>
              </w:rPr>
              <w:t>内</w:t>
            </w:r>
            <w:r>
              <w:rPr>
                <w:rFonts w:hint="default" w:eastAsiaTheme="minorEastAsia"/>
                <w:color w:val="auto"/>
                <w:highlight w:val="none"/>
              </w:rPr>
              <w:t>严禁陡坡垦殖、过度放牧、乱砍滥伐树木等损害水土保持功能的活动。禁止在崩塌、滑坡危险区和泥石流易发区从事取土、挖砂、采石等可能造成水土流失的活动。控制人为造成新增水土流失的资源开发和建设项目等损害水土保持功能的活动。加强石漠化综合治理，通过保护天然林、封山育林、退耕还林、小流域治理、农村生态能源建设、改变耕作方式、草食动物舍饲圈养、生态扶贫和生态移民等措施，恢复自然植被，提高水源涵养和水土保持能力。</w:t>
            </w:r>
          </w:p>
          <w:p>
            <w:pPr>
              <w:pStyle w:val="27"/>
              <w:ind w:firstLine="0" w:firstLineChars="0"/>
              <w:rPr>
                <w:rFonts w:hint="default" w:eastAsiaTheme="minorEastAsia"/>
                <w:color w:val="auto"/>
                <w:highlight w:val="none"/>
              </w:rPr>
            </w:pPr>
            <w:r>
              <w:rPr>
                <w:rFonts w:hint="default" w:eastAsiaTheme="minorEastAsia"/>
                <w:color w:val="auto"/>
                <w:highlight w:val="none"/>
                <w:lang w:val="en-US" w:eastAsia="zh-CN"/>
              </w:rPr>
              <w:t>4．</w:t>
            </w:r>
            <w:r>
              <w:rPr>
                <w:rFonts w:hint="default" w:eastAsiaTheme="minorEastAsia"/>
                <w:color w:val="auto"/>
                <w:highlight w:val="none"/>
              </w:rPr>
              <w:t>生物多样性维护功能极重要区</w:t>
            </w:r>
            <w:r>
              <w:rPr>
                <w:rFonts w:hint="default" w:eastAsiaTheme="minorEastAsia"/>
                <w:color w:val="auto"/>
                <w:highlight w:val="none"/>
                <w:lang w:eastAsia="zh-CN"/>
              </w:rPr>
              <w:t>内</w:t>
            </w:r>
            <w:r>
              <w:rPr>
                <w:rFonts w:hint="default" w:eastAsiaTheme="minorEastAsia"/>
                <w:color w:val="auto"/>
                <w:highlight w:val="none"/>
              </w:rPr>
              <w:t>禁止滥捕、乱采、乱猎野生动植物。保护自然生态系统与重要物种栖息地，禁止无序采矿、毁林开荒、湿地和草地开垦等各种损害栖息地的经济社会活动和生产方式。防止生态建设导致栖息环境的改变。加强对外来物种入侵的控制，禁止在生物多样性保护功能区引进外来物种。加强生物多样性资源调查与监测，保护和修复自然生态系统和重要物种栖息地，实施生物多样性保护工程。</w:t>
            </w:r>
          </w:p>
          <w:p>
            <w:pPr>
              <w:pStyle w:val="27"/>
              <w:ind w:firstLine="0" w:firstLineChars="0"/>
              <w:rPr>
                <w:rFonts w:hint="default" w:eastAsiaTheme="minorEastAsia"/>
                <w:color w:val="auto"/>
                <w:highlight w:val="none"/>
              </w:rPr>
            </w:pPr>
            <w:r>
              <w:rPr>
                <w:rFonts w:hint="default" w:eastAsiaTheme="minorEastAsia"/>
                <w:color w:val="auto"/>
                <w:highlight w:val="none"/>
                <w:lang w:val="en-US" w:eastAsia="zh-CN"/>
              </w:rPr>
              <w:t>5．</w:t>
            </w:r>
            <w:r>
              <w:rPr>
                <w:rFonts w:hint="eastAsia" w:eastAsiaTheme="minorEastAsia"/>
                <w:color w:val="auto"/>
                <w:highlight w:val="none"/>
                <w:lang w:eastAsia="zh-CN"/>
              </w:rPr>
              <w:t>水源涵养功能（极）重要区</w:t>
            </w:r>
            <w:r>
              <w:rPr>
                <w:rFonts w:hint="default" w:eastAsiaTheme="minorEastAsia"/>
                <w:color w:val="auto"/>
                <w:highlight w:val="none"/>
                <w:lang w:eastAsia="zh-CN"/>
              </w:rPr>
              <w:t>内</w:t>
            </w:r>
            <w:r>
              <w:rPr>
                <w:rFonts w:hint="default" w:eastAsiaTheme="minorEastAsia"/>
                <w:color w:val="auto"/>
                <w:highlight w:val="none"/>
              </w:rPr>
              <w:t>严格保护具有水源涵养功能的自然植被，禁止过度放牧、无序采矿、毁林开荒，限制或禁止湿地和草地开垦等损害生态系统水源涵养功能的活动。加强生态公益林改造和建设，通过封育恢复自然植被，促使其逐步向常绿阔叶林演化，提高水源涵养的功能；林产业向合理利用与保护建设相结合的生态型林业方向发展，保持森林生长与采伐利用的动态平衡，兼顾生态效益和经济效益，逐步恢复和改善地力；加强水土保持。</w:t>
            </w:r>
          </w:p>
          <w:p>
            <w:pPr>
              <w:pStyle w:val="27"/>
              <w:ind w:firstLine="0" w:firstLineChars="0"/>
              <w:rPr>
                <w:rFonts w:hint="default" w:eastAsiaTheme="minorEastAsia"/>
                <w:color w:val="auto"/>
                <w:highlight w:val="none"/>
              </w:rPr>
            </w:pPr>
            <w:r>
              <w:rPr>
                <w:rFonts w:hint="default" w:eastAsiaTheme="minorEastAsia"/>
                <w:color w:val="auto"/>
                <w:highlight w:val="none"/>
                <w:lang w:val="en-US" w:eastAsia="zh-CN"/>
              </w:rPr>
              <w:t>6．</w:t>
            </w:r>
            <w:r>
              <w:rPr>
                <w:rFonts w:hint="default" w:eastAsiaTheme="minorEastAsia"/>
                <w:color w:val="auto"/>
                <w:highlight w:val="none"/>
              </w:rPr>
              <w:t>依据《国家级公益林管理办法》（林资发〔2017〕34号）进行管理，严格控制勘查、开采矿藏和工程建设使用国家级公益林地。确需使用的，严格按照《建设项目使用林地审核审批管理办法》有关规定办理使用林地手续。涉及林木采伐的，按相关规定依法办理林木采伐手续。经审核审批同意使用的国家级公益林地，可按规定实行占补平衡。一级国家级公益林原则上不得开展生产经营活动，严禁打枝、采脂、割漆、剥树皮、掘根等行为。二级国家级公益林在不影响整体森林生态系统功能发挥的前提下，可以按照相关技术规程的规定开展抚育和更新性质的采伐。在不破坏森林植被的前提下，可以合理利用其林地资源，适度开展林下种植养殖和森林游憩等非木质资源开发与利用，科学发展林下经济。</w:t>
            </w:r>
          </w:p>
          <w:p>
            <w:pPr>
              <w:pStyle w:val="27"/>
              <w:ind w:firstLine="0" w:firstLineChars="0"/>
              <w:rPr>
                <w:rFonts w:hint="default" w:eastAsiaTheme="minorEastAsia"/>
                <w:color w:val="auto"/>
                <w:highlight w:val="none"/>
              </w:rPr>
            </w:pPr>
            <w:r>
              <w:rPr>
                <w:rFonts w:hint="default" w:eastAsiaTheme="minorEastAsia"/>
                <w:color w:val="auto"/>
                <w:highlight w:val="none"/>
                <w:lang w:val="en-US" w:eastAsia="zh-CN"/>
              </w:rPr>
              <w:t>7．</w:t>
            </w:r>
            <w:r>
              <w:rPr>
                <w:rFonts w:hint="default" w:eastAsiaTheme="minorEastAsia"/>
                <w:color w:val="auto"/>
                <w:highlight w:val="none"/>
              </w:rPr>
              <w:t>对所有</w:t>
            </w:r>
            <w:r>
              <w:rPr>
                <w:rFonts w:hint="eastAsia" w:eastAsiaTheme="minorEastAsia"/>
                <w:color w:val="auto"/>
                <w:highlight w:val="none"/>
                <w:lang w:eastAsia="zh-CN"/>
              </w:rPr>
              <w:t>天然林</w:t>
            </w:r>
            <w:r>
              <w:rPr>
                <w:rFonts w:hint="default" w:eastAsiaTheme="minorEastAsia"/>
                <w:color w:val="auto"/>
                <w:highlight w:val="none"/>
              </w:rPr>
              <w:t>实行保护，禁止毁林开垦、将天然林改造为人工林以及其他破坏天然林及其生态环境的行为。对纳入保护重点区域的天然林，除森林病虫害防治、森林防火等维护天然林生态系统健康的必要措施外，禁止其他一切生产经营活动。开展天然林抚育作业的，必须编制作业设计，经林业主管部门审查批准后实施。严格控制天然林地转为其他用途，除国防建设、国家重大工程项目建设特色需要外，禁止占用保护重点区域的天然林地。在不破坏地表植被、不影响生物多样性保护前提下，可在天然林地适度发展生态旅游、休闲康养、特色种植养殖产业。</w:t>
            </w:r>
          </w:p>
          <w:p>
            <w:pPr>
              <w:pStyle w:val="27"/>
              <w:keepNext w:val="0"/>
              <w:keepLines w:val="0"/>
              <w:suppressLineNumbers w:val="0"/>
              <w:adjustRightInd w:val="0"/>
              <w:snapToGrid w:val="0"/>
              <w:spacing w:before="0" w:beforeAutospacing="0" w:after="0" w:afterAutospacing="0"/>
              <w:ind w:left="0" w:right="0"/>
              <w:rPr>
                <w:rFonts w:hint="default" w:eastAsiaTheme="minorEastAsia"/>
                <w:color w:val="auto"/>
                <w:highlight w:val="none"/>
                <w:lang w:val="en-US" w:eastAsia="zh-CN"/>
              </w:rPr>
            </w:pPr>
            <w:r>
              <w:rPr>
                <w:rFonts w:hint="default" w:eastAsiaTheme="minorEastAsia"/>
                <w:color w:val="auto"/>
                <w:highlight w:val="none"/>
                <w:lang w:val="en-US" w:eastAsia="zh-CN"/>
              </w:rPr>
              <w:t>8．源头水区严格控制区域开发强度，禁止建设水污染较大、水环境风险较高的项目。严禁水功能在Ⅱ类以上河流设置排污口，管控单元内工业污染物排放总量不得增加。现有的不符合保护要求的设施或项目限期退出或关停。严控可能造成水土流失的生产建设活动，建设单位在生产建设活动中造成水土流失的，应采取水土流失预防和治理措施。</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strike w:val="0"/>
                <w:dstrike w:val="0"/>
                <w:color w:val="auto"/>
                <w:szCs w:val="21"/>
                <w:highlight w:val="none"/>
              </w:rPr>
            </w:pPr>
            <w:r>
              <w:rPr>
                <w:rFonts w:hint="default" w:ascii="Times New Roman" w:hAnsi="Times New Roman" w:cs="Times New Roman" w:eastAsiaTheme="minorEastAsia"/>
                <w:color w:val="auto"/>
                <w:highlight w:val="none"/>
                <w:lang w:val="en-US" w:eastAsia="zh-CN"/>
              </w:rPr>
              <w:t>9</w:t>
            </w:r>
            <w:r>
              <w:rPr>
                <w:rFonts w:hint="default" w:ascii="Times New Roman" w:hAnsi="Times New Roman" w:cs="Times New Roman"/>
                <w:color w:val="auto"/>
                <w:szCs w:val="24"/>
                <w:highlight w:val="none"/>
                <w:lang w:val="en-US" w:eastAsia="zh-CN"/>
              </w:rPr>
              <w:t xml:space="preserve">． </w:t>
            </w:r>
            <w:r>
              <w:rPr>
                <w:rFonts w:hint="default" w:ascii="Times New Roman" w:hAnsi="Times New Roman" w:cs="Times New Roman"/>
                <w:color w:val="auto"/>
                <w:szCs w:val="24"/>
                <w:highlight w:val="none"/>
              </w:rPr>
              <w:t>2025年</w:t>
            </w:r>
            <w:r>
              <w:rPr>
                <w:rFonts w:hint="default" w:ascii="Times New Roman" w:hAnsi="Times New Roman" w:cs="Times New Roman"/>
                <w:color w:val="auto"/>
                <w:szCs w:val="24"/>
                <w:highlight w:val="none"/>
                <w:lang w:eastAsia="zh-CN"/>
              </w:rPr>
              <w:t>，</w:t>
            </w:r>
            <w:r>
              <w:rPr>
                <w:rFonts w:hint="default" w:ascii="Times New Roman" w:hAnsi="Times New Roman" w:cs="Times New Roman" w:eastAsiaTheme="minorEastAsia"/>
                <w:color w:val="auto"/>
                <w:highlight w:val="none"/>
              </w:rPr>
              <w:t>木洞</w:t>
            </w:r>
            <w:r>
              <w:rPr>
                <w:rFonts w:hint="default" w:ascii="Times New Roman" w:hAnsi="Times New Roman" w:cs="Times New Roman"/>
                <w:color w:val="auto"/>
                <w:szCs w:val="24"/>
                <w:highlight w:val="none"/>
              </w:rPr>
              <w:t>国考断面</w:t>
            </w:r>
            <w:r>
              <w:rPr>
                <w:rFonts w:ascii="Times New Roman" w:hAnsi="Times New Roman" w:cs="Times New Roman" w:eastAsiaTheme="minorEastAsia"/>
                <w:color w:val="auto"/>
                <w:sz w:val="21"/>
                <w:szCs w:val="21"/>
                <w:highlight w:val="none"/>
              </w:rPr>
              <w:t>水质</w:t>
            </w:r>
            <w:r>
              <w:rPr>
                <w:rFonts w:hint="eastAsia" w:ascii="Times New Roman" w:hAnsi="Times New Roman" w:cs="Times New Roman"/>
                <w:color w:val="auto"/>
                <w:sz w:val="21"/>
                <w:szCs w:val="21"/>
                <w:highlight w:val="none"/>
                <w:lang w:eastAsia="zh-CN"/>
              </w:rPr>
              <w:t>拟执行Ⅱ类标准，最终以国家下达为准</w:t>
            </w:r>
            <w:r>
              <w:rPr>
                <w:rFonts w:hint="default" w:ascii="Times New Roman" w:hAnsi="Times New Roman" w:cs="Times New Roman"/>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4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ZH45022520001</w:t>
            </w:r>
          </w:p>
        </w:tc>
        <w:tc>
          <w:tcPr>
            <w:tcW w:w="216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commentRangeStart w:id="23"/>
            <w:r>
              <w:rPr>
                <w:rFonts w:hint="default" w:eastAsiaTheme="minorEastAsia"/>
                <w:color w:val="auto"/>
                <w:highlight w:val="none"/>
              </w:rPr>
              <w:t>融水苗族自治县工业集中区重点管控单元</w:t>
            </w:r>
            <w:commentRangeEnd w:id="23"/>
            <w:r>
              <w:rPr>
                <w:highlight w:val="none"/>
              </w:rPr>
              <w:commentReference w:id="23"/>
            </w:r>
          </w:p>
        </w:tc>
        <w:tc>
          <w:tcPr>
            <w:tcW w:w="1253"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17" w:type="dxa"/>
            <w:shd w:val="clear" w:color="auto" w:fill="auto"/>
            <w:vAlign w:val="center"/>
          </w:tcPr>
          <w:p>
            <w:pPr>
              <w:pStyle w:val="27"/>
              <w:keepNext w:val="0"/>
              <w:keepLines w:val="0"/>
              <w:suppressLineNumbers w:val="0"/>
              <w:spacing w:before="0" w:beforeAutospacing="0" w:after="0" w:afterAutospacing="0"/>
              <w:ind w:left="0" w:leftChars="0" w:right="0" w:rightChars="0"/>
              <w:rPr>
                <w:rFonts w:hint="default" w:ascii="Times New Roman" w:hAnsi="Times New Roman" w:eastAsia="宋体" w:cs="Times New Roman"/>
                <w:strike w:val="0"/>
                <w:dstrike w:val="0"/>
                <w:color w:val="auto"/>
                <w:sz w:val="21"/>
                <w:szCs w:val="21"/>
                <w:highlight w:val="none"/>
              </w:rPr>
            </w:pPr>
            <w:r>
              <w:rPr>
                <w:rFonts w:hint="default" w:cs="Times New Roman"/>
                <w:strike w:val="0"/>
                <w:dstrike w:val="0"/>
                <w:color w:val="auto"/>
                <w:sz w:val="21"/>
                <w:szCs w:val="21"/>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eastAsia="宋体" w:cs="Times New Roman"/>
                <w:strike w:val="0"/>
                <w:dstrike w:val="0"/>
                <w:color w:val="auto"/>
                <w:sz w:val="21"/>
                <w:szCs w:val="21"/>
                <w:highlight w:val="none"/>
              </w:rPr>
              <w:t>入园项目必须符合国家、自治区产业政策、供地政策及园区产业定位。</w:t>
            </w:r>
          </w:p>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加快产业结构调整和产业水平提升；对于不符合产业导向的已入驻企业，加速转型或淘汰。</w:t>
            </w:r>
          </w:p>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在敏感目标邻近地块设置一定的产业控制带，控制带内禁止布局或新建涉及生产废气排放、恶臭严重、有防护距离要求和使居住区声环境质量超标的强噪声源项目。</w:t>
            </w:r>
          </w:p>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园区企业今后的引进原则为以规划产业的二类工业项目，东良片区不宜再引入三类工业。</w:t>
            </w:r>
          </w:p>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bCs/>
                <w:strike w:val="0"/>
                <w:dstrike w:val="0"/>
                <w:color w:val="auto"/>
                <w:highlight w:val="none"/>
              </w:rPr>
            </w:pPr>
            <w:r>
              <w:rPr>
                <w:rFonts w:hint="default" w:cs="Times New Roman" w:eastAsiaTheme="minorEastAsia"/>
                <w:bCs/>
                <w:strike w:val="0"/>
                <w:dstrike w:val="0"/>
                <w:color w:val="auto"/>
                <w:highlight w:val="none"/>
                <w:lang w:val="en-US" w:eastAsia="zh-CN"/>
              </w:rPr>
              <w:t>5</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bCs/>
                <w:strike w:val="0"/>
                <w:dstrike w:val="0"/>
                <w:color w:val="auto"/>
                <w:highlight w:val="none"/>
              </w:rPr>
              <w:t>在涉及或临近基本农田、水体、景区、饮用水源保护区等生态敏感区域，应制定相应的专项生态环境保护措施，划定限制、禁止开发区域，并设置一定的隔离缓冲区。</w:t>
            </w:r>
          </w:p>
          <w:p>
            <w:pPr>
              <w:pStyle w:val="27"/>
              <w:rPr>
                <w:rFonts w:hint="default" w:ascii="Times New Roman" w:hAnsi="Times New Roman" w:eastAsiaTheme="minorEastAsia"/>
                <w:color w:val="auto"/>
                <w:highlight w:val="none"/>
                <w:lang w:val="en-US" w:eastAsia="zh-CN"/>
              </w:rPr>
            </w:pPr>
            <w:r>
              <w:rPr>
                <w:rFonts w:hint="default" w:cs="Times New Roman" w:eastAsiaTheme="minorEastAsia"/>
                <w:strike w:val="0"/>
                <w:dstrike w:val="0"/>
                <w:color w:val="auto"/>
                <w:highlight w:val="none"/>
                <w:lang w:val="en-US" w:eastAsia="zh-CN"/>
              </w:rPr>
              <w:t>6</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新建大气</w:t>
            </w:r>
            <w:r>
              <w:rPr>
                <w:rFonts w:hint="default" w:ascii="Times New Roman" w:hAnsi="Times New Roman" w:eastAsiaTheme="minorEastAsia"/>
                <w:color w:val="auto"/>
                <w:highlight w:val="none"/>
                <w:lang w:val="en-US" w:eastAsia="zh-CN"/>
              </w:rPr>
              <w:t>污染物排放的工业项目，原则上应当进入工业园区或者工业集聚区；加快布局分散的企业向园区集中。</w:t>
            </w:r>
          </w:p>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bCs/>
                <w:strike w:val="0"/>
                <w:dstrike w:val="0"/>
                <w:color w:val="auto"/>
                <w:highlight w:val="none"/>
              </w:rPr>
            </w:pPr>
            <w:r>
              <w:rPr>
                <w:rFonts w:hint="default" w:eastAsiaTheme="minorEastAsia"/>
                <w:color w:val="auto"/>
                <w:highlight w:val="none"/>
                <w:lang w:val="en-US" w:eastAsia="zh-CN"/>
              </w:rPr>
              <w:t>7</w:t>
            </w:r>
            <w:r>
              <w:rPr>
                <w:rFonts w:hint="default" w:ascii="Times New Roman" w:hAnsi="Times New Roman" w:eastAsiaTheme="minorEastAsia"/>
                <w:color w:val="auto"/>
                <w:highlight w:val="none"/>
                <w:lang w:eastAsia="zh-CN"/>
              </w:rPr>
              <w:t>．</w:t>
            </w:r>
            <w:r>
              <w:rPr>
                <w:rFonts w:hint="default" w:eastAsiaTheme="minorEastAsia"/>
                <w:color w:val="auto"/>
                <w:highlight w:val="none"/>
                <w:lang w:val="en-US" w:eastAsia="zh-CN"/>
              </w:rPr>
              <w:t>产业园</w:t>
            </w:r>
            <w:r>
              <w:rPr>
                <w:rFonts w:hint="default" w:ascii="Times New Roman" w:hAnsi="Times New Roman" w:eastAsiaTheme="minorEastAsia"/>
                <w:color w:val="auto"/>
                <w:highlight w:val="none"/>
                <w:lang w:val="en-US" w:eastAsia="zh-CN"/>
              </w:rPr>
              <w:t>区管理机构应将规划环评结论及审查意见落实到规划中，负责统筹区域内生态环境基础设施</w:t>
            </w:r>
            <w:r>
              <w:rPr>
                <w:rFonts w:hint="default" w:ascii="Times New Roman" w:hAnsi="Times New Roman" w:cs="Times New Roman" w:eastAsiaTheme="minorEastAsia"/>
                <w:strike w:val="0"/>
                <w:dstrike w:val="0"/>
                <w:color w:val="auto"/>
                <w:highlight w:val="none"/>
                <w:lang w:val="en-US" w:eastAsia="zh-CN"/>
              </w:rPr>
              <w:t>建设，</w:t>
            </w:r>
            <w:r>
              <w:rPr>
                <w:rFonts w:hint="default" w:ascii="Times New Roman" w:hAnsi="Times New Roman" w:cs="Times New Roman" w:eastAsiaTheme="minorEastAsia"/>
                <w:color w:val="auto"/>
                <w:highlight w:val="none"/>
                <w:lang w:val="en-US" w:eastAsia="zh-CN"/>
              </w:rPr>
              <w:t>不得</w:t>
            </w:r>
            <w:r>
              <w:rPr>
                <w:rFonts w:hint="default" w:ascii="Times New Roman" w:hAnsi="Times New Roman" w:cs="Times New Roman" w:eastAsiaTheme="minorEastAsia"/>
                <w:strike w:val="0"/>
                <w:dstrike w:val="0"/>
                <w:color w:val="auto"/>
                <w:highlight w:val="none"/>
                <w:lang w:val="en-US" w:eastAsia="zh-CN"/>
              </w:rPr>
              <w:t>引入不符合规划环评结论及审查意见的项目入园。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4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16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3"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317" w:type="dxa"/>
            <w:shd w:val="clear" w:color="auto" w:fill="auto"/>
            <w:vAlign w:val="center"/>
          </w:tcPr>
          <w:p>
            <w:pPr>
              <w:pStyle w:val="27"/>
              <w:rPr>
                <w:rFonts w:hint="default" w:ascii="Times New Roman" w:hAnsi="Times New Roman" w:eastAsiaTheme="minorEastAsia"/>
                <w:color w:val="auto"/>
                <w:highlight w:val="none"/>
                <w:lang w:val="en-US" w:eastAsia="zh-CN"/>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eastAsiaTheme="minorEastAsia"/>
                <w:color w:val="auto"/>
                <w:highlight w:val="none"/>
                <w:lang w:val="en-US" w:eastAsia="zh-CN"/>
              </w:rPr>
              <w:t>深化园区工业污染治理，持续推进工业污染源全面达标排放，开展烟气高效脱硫脱硝、除尘改造。推进各类园区技术、工艺、设备等生态化、循环化改造，积极推广园区集中供热。强化园区堆场扬尘控制。推动重点行业VOCs的排放管控，加强VOCs排放企业源头控制。</w:t>
            </w:r>
          </w:p>
          <w:p>
            <w:pPr>
              <w:pStyle w:val="27"/>
              <w:rPr>
                <w:rFonts w:hint="default" w:ascii="Times New Roman" w:hAnsi="Times New Roman" w:eastAsiaTheme="minorEastAsia"/>
                <w:color w:val="auto"/>
                <w:highlight w:val="none"/>
                <w:lang w:val="en-US" w:eastAsia="zh-CN"/>
              </w:rPr>
            </w:pPr>
            <w:r>
              <w:rPr>
                <w:rFonts w:hint="default" w:ascii="Times New Roman" w:hAnsi="Times New Roman" w:eastAsiaTheme="minorEastAsia"/>
                <w:color w:val="auto"/>
                <w:highlight w:val="none"/>
                <w:lang w:val="en-US" w:eastAsia="zh-CN"/>
              </w:rPr>
              <w:t>2</w:t>
            </w:r>
            <w:r>
              <w:rPr>
                <w:rFonts w:hint="default" w:ascii="Times New Roman" w:hAnsi="Times New Roman" w:eastAsiaTheme="minorEastAsia"/>
                <w:color w:val="auto"/>
                <w:highlight w:val="none"/>
                <w:lang w:eastAsia="zh-CN"/>
              </w:rPr>
              <w:t>．</w:t>
            </w:r>
            <w:r>
              <w:rPr>
                <w:rFonts w:hint="default" w:ascii="Times New Roman" w:hAnsi="Times New Roman" w:eastAsiaTheme="minorEastAsia"/>
                <w:color w:val="auto"/>
                <w:highlight w:val="none"/>
                <w:lang w:val="en-US" w:eastAsia="zh-CN"/>
              </w:rPr>
              <w:t>逐步完成工业集聚区集中式污水处理设施建设，确保已建污水处理设施稳定运行及达标排放。园区集中式污水处理设施总排口安装自动监控系统、视频监控系统，并与生态环境主管部门联网。按照“清污分流、雨污分流”原则，实施废水分类收集、分质处理。</w:t>
            </w:r>
          </w:p>
          <w:p>
            <w:pPr>
              <w:pStyle w:val="27"/>
              <w:rPr>
                <w:rFonts w:hint="default" w:ascii="Times New Roman" w:hAnsi="Times New Roman" w:eastAsiaTheme="minorEastAsia"/>
                <w:color w:val="auto"/>
                <w:highlight w:val="none"/>
                <w:lang w:val="en-US" w:eastAsia="zh-CN"/>
              </w:rPr>
            </w:pPr>
            <w:r>
              <w:rPr>
                <w:rFonts w:hint="default" w:ascii="Times New Roman" w:hAnsi="Times New Roman" w:eastAsiaTheme="minorEastAsia"/>
                <w:color w:val="auto"/>
                <w:highlight w:val="none"/>
                <w:lang w:val="en-US" w:eastAsia="zh-CN"/>
              </w:rPr>
              <w:t>3</w:t>
            </w:r>
            <w:r>
              <w:rPr>
                <w:rFonts w:hint="default" w:ascii="Times New Roman" w:hAnsi="Times New Roman" w:eastAsiaTheme="minorEastAsia"/>
                <w:color w:val="auto"/>
                <w:highlight w:val="none"/>
                <w:lang w:eastAsia="zh-CN"/>
              </w:rPr>
              <w:t>．</w:t>
            </w:r>
            <w:r>
              <w:rPr>
                <w:rFonts w:hint="default" w:eastAsiaTheme="minorEastAsia"/>
                <w:color w:val="auto"/>
                <w:highlight w:val="none"/>
              </w:rPr>
              <w:t>园区及园区企业排放水污染物，要满足国家或者地方规定的水污染物排放标准和重点水污染物排放总量控制指标。直接外排水环境的，执行国家或者地方规定的标准要求；经城镇污水集中处理设施处理后排放的，执行市政部门管理要求；经园区污水集中处理设施处理后排放的，执行园区管理部门相关要求。</w:t>
            </w:r>
          </w:p>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ascii="Times New Roman" w:hAnsi="Times New Roman" w:eastAsiaTheme="minorEastAsia"/>
                <w:color w:val="auto"/>
                <w:highlight w:val="none"/>
                <w:lang w:val="en-US" w:eastAsia="zh-CN"/>
              </w:rPr>
              <w:t>4</w:t>
            </w:r>
            <w:r>
              <w:rPr>
                <w:rFonts w:hint="default" w:ascii="Times New Roman" w:hAnsi="Times New Roman" w:eastAsiaTheme="minorEastAsia"/>
                <w:color w:val="auto"/>
                <w:highlight w:val="none"/>
                <w:lang w:eastAsia="zh-CN"/>
              </w:rPr>
              <w:t>．</w:t>
            </w:r>
            <w:r>
              <w:rPr>
                <w:rFonts w:hint="default" w:ascii="Times New Roman" w:hAnsi="Times New Roman" w:eastAsiaTheme="minorEastAsia"/>
                <w:color w:val="auto"/>
                <w:highlight w:val="none"/>
              </w:rPr>
              <w:t>矿产资源勘查以及采选过程中排土场、露天采场、尾矿库、矿区专用道路、矿山工业场地、沉陷区、矸石场、矿山污染场地等的生态环境保护与治理恢复工作须满足</w:t>
            </w:r>
            <w:r>
              <w:rPr>
                <w:rFonts w:hint="default" w:eastAsiaTheme="minorEastAsia"/>
                <w:color w:val="auto"/>
                <w:highlight w:val="none"/>
                <w:lang w:eastAsia="zh-CN"/>
              </w:rPr>
              <w:t>《矿山生态环境保护与恢复治理技术规范（试行）》</w:t>
            </w:r>
            <w:r>
              <w:rPr>
                <w:rFonts w:hint="default" w:ascii="Times New Roman" w:hAnsi="Times New Roman" w:eastAsiaTheme="minorEastAsia"/>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134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16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3"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317" w:type="dxa"/>
            <w:shd w:val="clear" w:color="auto" w:fill="auto"/>
            <w:vAlign w:val="center"/>
          </w:tcPr>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开展环境风险评估，制定突发环境事件应急预案并备案，配备应急能力和物资，建设环境应急队伍，并定期演练。企业、园区与地方人民政府环境应急预案应当有机衔接。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4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ZH45022520002</w:t>
            </w:r>
          </w:p>
        </w:tc>
        <w:tc>
          <w:tcPr>
            <w:tcW w:w="216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commentRangeStart w:id="24"/>
            <w:r>
              <w:rPr>
                <w:rFonts w:hint="default" w:eastAsiaTheme="minorEastAsia"/>
                <w:color w:val="auto"/>
                <w:highlight w:val="none"/>
              </w:rPr>
              <w:t>融水苗族自治县城镇空间重点管控单元</w:t>
            </w:r>
            <w:commentRangeEnd w:id="24"/>
            <w:r>
              <w:rPr>
                <w:highlight w:val="none"/>
              </w:rPr>
              <w:commentReference w:id="24"/>
            </w:r>
          </w:p>
        </w:tc>
        <w:tc>
          <w:tcPr>
            <w:tcW w:w="1253"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17"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eastAsia"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．城市建成区内的钢铁、石油、化工、有色金属、水泥、平板玻璃、建筑陶瓷、砖瓦等行业中的高排放、高污染项目，应当逐步进行搬迁、改造或者转型、退出。</w:t>
            </w:r>
          </w:p>
          <w:p>
            <w:pPr>
              <w:pStyle w:val="27"/>
              <w:keepNext w:val="0"/>
              <w:keepLines w:val="0"/>
              <w:numPr>
                <w:ilvl w:val="0"/>
                <w:numId w:val="0"/>
              </w:numPr>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．城市市区、镇和村庄居民区、文化教育科学研究区等人口集中区域禁止设置畜禽养殖场、养殖小区。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6" w:hRule="atLeast"/>
          <w:jc w:val="center"/>
        </w:trPr>
        <w:tc>
          <w:tcPr>
            <w:tcW w:w="134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16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3"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317"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ascii="Times New Roman" w:hAnsi="Times New Roman" w:eastAsiaTheme="minorEastAsia"/>
                <w:color w:val="auto"/>
                <w:highlight w:val="none"/>
                <w:lang w:val="en-US" w:eastAsia="zh-CN"/>
              </w:rPr>
            </w:pPr>
            <w:r>
              <w:rPr>
                <w:rFonts w:hint="default"/>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color w:val="auto"/>
                <w:highlight w:val="none"/>
                <w:lang w:val="en-US" w:eastAsia="zh-CN"/>
              </w:rPr>
              <w:t>加大燃煤小锅炉淘汰力度。依法依规加快淘汰老旧柴油货车。严格控制施工和道路扬尘污染。禁止露天</w:t>
            </w:r>
            <w:r>
              <w:rPr>
                <w:rFonts w:hint="default" w:ascii="Times New Roman" w:hAnsi="Times New Roman" w:eastAsiaTheme="minorEastAsia"/>
                <w:color w:val="auto"/>
                <w:highlight w:val="none"/>
                <w:lang w:val="en-US" w:eastAsia="zh-CN"/>
              </w:rPr>
              <w:t>焚烧产生有毒有害</w:t>
            </w:r>
            <w:r>
              <w:rPr>
                <w:rFonts w:hint="default" w:ascii="Times New Roman" w:hAnsi="Times New Roman" w:cs="Times New Roman" w:eastAsiaTheme="minorEastAsia"/>
                <w:strike w:val="0"/>
                <w:dstrike w:val="0"/>
                <w:color w:val="auto"/>
                <w:highlight w:val="none"/>
                <w:lang w:val="en-US" w:eastAsia="zh-CN"/>
              </w:rPr>
              <w:t>烟尘和恶臭气体的物质。鼓励建筑装修、汽修喷涂作业、干洗等行业，使用低毒、低挥发性</w:t>
            </w:r>
            <w:r>
              <w:rPr>
                <w:rFonts w:hint="default" w:ascii="Times New Roman" w:hAnsi="Times New Roman" w:eastAsiaTheme="minorEastAsia"/>
                <w:color w:val="auto"/>
                <w:highlight w:val="none"/>
                <w:lang w:val="en-US" w:eastAsia="zh-CN"/>
              </w:rPr>
              <w:t>溶剂。</w:t>
            </w:r>
          </w:p>
          <w:p>
            <w:pPr>
              <w:pStyle w:val="27"/>
              <w:rPr>
                <w:rFonts w:hint="default" w:ascii="Times New Roman" w:hAnsi="Times New Roman" w:eastAsiaTheme="minorEastAsia"/>
                <w:color w:val="auto"/>
                <w:highlight w:val="none"/>
                <w:lang w:val="en-US" w:eastAsia="zh-CN"/>
              </w:rPr>
            </w:pPr>
            <w:r>
              <w:rPr>
                <w:rFonts w:hint="default" w:ascii="Times New Roman" w:hAnsi="Times New Roman" w:eastAsiaTheme="minorEastAsia"/>
                <w:color w:val="auto"/>
                <w:highlight w:val="none"/>
                <w:lang w:val="en-US" w:eastAsia="zh-CN"/>
              </w:rPr>
              <w:t>2</w:t>
            </w:r>
            <w:r>
              <w:rPr>
                <w:rFonts w:hint="default" w:ascii="Times New Roman" w:hAnsi="Times New Roman" w:eastAsiaTheme="minorEastAsia"/>
                <w:color w:val="auto"/>
                <w:highlight w:val="none"/>
                <w:lang w:eastAsia="zh-CN"/>
              </w:rPr>
              <w:t>．</w:t>
            </w:r>
            <w:r>
              <w:rPr>
                <w:rFonts w:hint="default" w:eastAsiaTheme="minorEastAsia"/>
                <w:color w:val="auto"/>
                <w:highlight w:val="none"/>
                <w:lang w:eastAsia="zh-CN"/>
              </w:rPr>
              <w:t>城市建成区基本</w:t>
            </w:r>
            <w:r>
              <w:rPr>
                <w:rFonts w:hint="default" w:ascii="Times New Roman" w:hAnsi="Times New Roman" w:eastAsiaTheme="minorEastAsia"/>
                <w:color w:val="auto"/>
                <w:highlight w:val="none"/>
                <w:lang w:eastAsia="zh-CN"/>
              </w:rPr>
              <w:t>消除生活污水直排口，有效杜绝污水直排水体。</w:t>
            </w:r>
          </w:p>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eastAsiaTheme="minorEastAsia"/>
                <w:color w:val="auto"/>
                <w:highlight w:val="none"/>
                <w:lang w:val="en-US" w:eastAsia="zh-CN"/>
              </w:rPr>
              <w:t>3</w:t>
            </w:r>
            <w:r>
              <w:rPr>
                <w:rFonts w:hint="default" w:ascii="Times New Roman" w:hAnsi="Times New Roman" w:eastAsiaTheme="minorEastAsia"/>
                <w:color w:val="auto"/>
                <w:highlight w:val="none"/>
                <w:lang w:eastAsia="zh-CN"/>
              </w:rPr>
              <w:t>．提高污水处理能力，完善既</w:t>
            </w:r>
            <w:r>
              <w:rPr>
                <w:rFonts w:hint="default" w:ascii="Times New Roman" w:hAnsi="Times New Roman" w:cs="Times New Roman" w:eastAsiaTheme="minorEastAsia"/>
                <w:strike w:val="0"/>
                <w:dstrike w:val="0"/>
                <w:color w:val="auto"/>
                <w:highlight w:val="none"/>
                <w:lang w:eastAsia="zh-CN"/>
              </w:rPr>
              <w:t>有污水处理厂和新建、扩建污水处理厂配套管网建设，基本实现城中村、老旧城区和城乡结合部生活污水收集处理。</w:t>
            </w:r>
          </w:p>
          <w:p>
            <w:pPr>
              <w:pStyle w:val="27"/>
              <w:keepNext w:val="0"/>
              <w:keepLines w:val="0"/>
              <w:numPr>
                <w:ilvl w:val="0"/>
                <w:numId w:val="0"/>
              </w:numPr>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w:t>
            </w:r>
            <w:r>
              <w:rPr>
                <w:rFonts w:hint="default" w:ascii="Times New Roman" w:hAnsi="Times New Roman" w:eastAsiaTheme="minorEastAsia"/>
                <w:color w:val="auto"/>
                <w:highlight w:val="none"/>
              </w:rPr>
              <w:t>排土场、露天采场、尾矿库、矿区专用道路、矿山工业场地、沉陷区、矸石场、矿山污染场地等的生态环境保护与治理恢复工作须满足</w:t>
            </w:r>
            <w:r>
              <w:rPr>
                <w:rFonts w:hint="default" w:eastAsiaTheme="minorEastAsia"/>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4" w:hRule="atLeast"/>
          <w:jc w:val="center"/>
        </w:trPr>
        <w:tc>
          <w:tcPr>
            <w:tcW w:w="134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16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3"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317"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开展环境风险评估，制定突发环境事件应急预案并备案，配备应急能力和物资，建设环境应急队伍，并定期演练。企业、园区与地方人民政府环境应急预案应当有机衔接。</w:t>
            </w:r>
          </w:p>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9" w:hRule="atLeast"/>
          <w:jc w:val="center"/>
        </w:trPr>
        <w:tc>
          <w:tcPr>
            <w:tcW w:w="1344"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ZH45022520003</w:t>
            </w:r>
          </w:p>
        </w:tc>
        <w:tc>
          <w:tcPr>
            <w:tcW w:w="216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lang w:eastAsia="zh-CN"/>
              </w:rPr>
            </w:pPr>
            <w:commentRangeStart w:id="25"/>
            <w:r>
              <w:rPr>
                <w:rFonts w:hint="default" w:eastAsiaTheme="minorEastAsia"/>
                <w:color w:val="auto"/>
                <w:highlight w:val="none"/>
              </w:rPr>
              <w:t>融水苗族自治县其他重点管控单元</w:t>
            </w:r>
            <w:commentRangeEnd w:id="25"/>
            <w:r>
              <w:rPr>
                <w:highlight w:val="none"/>
              </w:rPr>
              <w:commentReference w:id="25"/>
            </w:r>
          </w:p>
        </w:tc>
        <w:tc>
          <w:tcPr>
            <w:tcW w:w="1253"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重点管控单元</w:t>
            </w: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17" w:type="dxa"/>
            <w:shd w:val="clear" w:color="auto" w:fill="auto"/>
            <w:vAlign w:val="center"/>
          </w:tcPr>
          <w:p>
            <w:pPr>
              <w:pStyle w:val="27"/>
              <w:keepNext w:val="0"/>
              <w:keepLines w:val="0"/>
              <w:numPr>
                <w:ilvl w:val="-1"/>
                <w:numId w:val="0"/>
              </w:numPr>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规划产业园区应当依法依规进行审批。新建企业原则上均应建在产业园区。</w:t>
            </w:r>
          </w:p>
          <w:p>
            <w:pPr>
              <w:pStyle w:val="27"/>
              <w:keepNext w:val="0"/>
              <w:keepLines w:val="0"/>
              <w:numPr>
                <w:ilvl w:val="-1"/>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2</w:t>
            </w:r>
            <w:r>
              <w:rPr>
                <w:rFonts w:hint="default" w:ascii="Times New Roman" w:hAnsi="Times New Roman" w:cs="Times New Roman" w:eastAsiaTheme="minorEastAsia"/>
                <w:strike w:val="0"/>
                <w:dstrike w:val="0"/>
                <w:color w:val="auto"/>
                <w:highlight w:val="none"/>
                <w:lang w:eastAsia="zh-CN"/>
              </w:rPr>
              <w:t>．</w:t>
            </w:r>
            <w:r>
              <w:rPr>
                <w:rFonts w:ascii="Times New Roman" w:hAnsi="Times New Roman" w:eastAsiaTheme="minorEastAsia"/>
                <w:color w:val="auto"/>
                <w:highlight w:val="none"/>
              </w:rPr>
              <w:t>新建港口码头应避让且尽量远离生态保护红线、法定保护区等环境保护目标，降低规划实施对敏感目标的影响</w:t>
            </w:r>
            <w:r>
              <w:rPr>
                <w:rFonts w:hint="default" w:eastAsiaTheme="minorEastAsia"/>
                <w:color w:val="auto"/>
                <w:highlight w:val="none"/>
                <w:lang w:eastAsia="zh-CN"/>
              </w:rPr>
              <w:t>。</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居住用地周边严控布局潜在污染扰民和环境风险突出的建设项目。</w:t>
            </w:r>
            <w:r>
              <w:rPr>
                <w:rFonts w:hint="default" w:ascii="Times New Roman" w:hAnsi="Times New Roman" w:cs="Times New Roman" w:eastAsiaTheme="minorEastAsia"/>
                <w:b w:val="0"/>
                <w:strike w:val="0"/>
                <w:dstrike w:val="0"/>
                <w:color w:val="auto"/>
                <w:highlight w:val="none"/>
              </w:rPr>
              <w:t>禁止</w:t>
            </w:r>
            <w:r>
              <w:rPr>
                <w:rFonts w:hint="default" w:ascii="Times New Roman" w:hAnsi="Times New Roman" w:cs="Times New Roman" w:eastAsiaTheme="minorEastAsia"/>
                <w:strike w:val="0"/>
                <w:dstrike w:val="0"/>
                <w:color w:val="auto"/>
                <w:highlight w:val="none"/>
              </w:rPr>
              <w:t>在居民区和学校、医院、疗养院、养老院等单位周边新建、改建、扩建可能造成土壤污染的建设项目。</w:t>
            </w:r>
            <w:r>
              <w:rPr>
                <w:rFonts w:hint="default" w:ascii="Times New Roman" w:hAnsi="Times New Roman" w:cs="Times New Roman" w:eastAsiaTheme="minorEastAsia"/>
                <w:b w:val="0"/>
                <w:strike w:val="0"/>
                <w:dstrike w:val="0"/>
                <w:color w:val="auto"/>
                <w:highlight w:val="none"/>
              </w:rPr>
              <w:t>禁止</w:t>
            </w:r>
            <w:r>
              <w:rPr>
                <w:rFonts w:hint="default" w:ascii="Times New Roman" w:hAnsi="Times New Roman" w:cs="Times New Roman" w:eastAsiaTheme="minorEastAsia"/>
                <w:strike w:val="0"/>
                <w:dstrike w:val="0"/>
                <w:color w:val="auto"/>
                <w:highlight w:val="none"/>
              </w:rPr>
              <w:t>在人口聚居区域内新（改、扩）建涉重金属企业。</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临近生态保护红线的工业企业，应采取有效措施，避免产生不利影响。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3" w:hRule="atLeast"/>
          <w:jc w:val="center"/>
        </w:trPr>
        <w:tc>
          <w:tcPr>
            <w:tcW w:w="134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16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3"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污染物排放管控</w:t>
            </w:r>
          </w:p>
        </w:tc>
        <w:tc>
          <w:tcPr>
            <w:tcW w:w="8317"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工业企业应当落实大气污染防治要求，采取有效措施，强化企业大气污染物排放精细化管理、无组织废气排放控制以及高效治污设施建设。</w:t>
            </w:r>
          </w:p>
          <w:p>
            <w:pPr>
              <w:pStyle w:val="27"/>
              <w:keepNext w:val="0"/>
              <w:keepLines w:val="0"/>
              <w:suppressLineNumbers w:val="0"/>
              <w:spacing w:before="0" w:beforeAutospacing="0" w:after="0" w:afterAutospacing="0"/>
              <w:ind w:left="0" w:right="0"/>
              <w:rPr>
                <w:rFonts w:hint="default"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color w:val="auto"/>
                <w:highlight w:val="none"/>
                <w:lang w:val="en-US" w:eastAsia="zh-CN"/>
              </w:rPr>
              <w:t>完善港区污水集中处理设施和配套管网建设，实现污水集中处理、回用或达标排放。</w:t>
            </w:r>
          </w:p>
          <w:p>
            <w:pPr>
              <w:pStyle w:val="27"/>
              <w:keepNext w:val="0"/>
              <w:keepLines w:val="0"/>
              <w:numPr>
                <w:ilvl w:val="0"/>
                <w:numId w:val="0"/>
              </w:numPr>
              <w:suppressLineNumbers w:val="0"/>
              <w:spacing w:before="0" w:beforeAutospacing="0" w:after="0" w:afterAutospacing="0"/>
              <w:ind w:right="0" w:rightChars="0"/>
              <w:rPr>
                <w:rFonts w:hint="default"/>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color w:val="auto"/>
                <w:highlight w:val="none"/>
                <w:lang w:val="en-US" w:eastAsia="zh-CN"/>
              </w:rPr>
              <w:t>强化码头作业区堆场扬尘控制。</w:t>
            </w:r>
          </w:p>
          <w:p>
            <w:pPr>
              <w:pStyle w:val="27"/>
              <w:keepNext w:val="0"/>
              <w:keepLines w:val="0"/>
              <w:suppressLineNumbers w:val="0"/>
              <w:spacing w:before="0" w:beforeAutospacing="0" w:after="0" w:afterAutospacing="0"/>
              <w:ind w:left="0" w:right="0"/>
              <w:rPr>
                <w:rFonts w:hint="default"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eastAsiaTheme="minorEastAsia"/>
                <w:color w:val="auto"/>
                <w:highlight w:val="none"/>
              </w:rPr>
              <w:t>规划产业园区建设应同步完善污水处理设施及管网建设；园区及园区企业主要污染物排放应控制在区域环境承载能力范围内，确保环境质量达标。</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5</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cs="Times New Roman" w:eastAsiaTheme="minorEastAsia"/>
                <w:strike w:val="0"/>
                <w:dstrike w:val="0"/>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44"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216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p>
        </w:tc>
        <w:tc>
          <w:tcPr>
            <w:tcW w:w="1253"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环境风险防控</w:t>
            </w:r>
          </w:p>
        </w:tc>
        <w:tc>
          <w:tcPr>
            <w:tcW w:w="8317"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开展环境风险评估，制定突发环境事件应急预案并备案，配备应急能力和物资，建设环境应急队伍，并定期演练。完善区域应急联动机制。</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土壤污染重点监管单位应当严格控制有毒有害物质排放，并按年度向所在地设区的市人民政府生态环境主管部门报告排放情况；建立土壤污染隐患排查制度，保证持续有效防止有毒有害物质渗漏、流失、扬散。</w:t>
            </w:r>
          </w:p>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eastAsia" w:cs="Times New Roman" w:eastAsiaTheme="minorEastAsia"/>
                <w:strike w:val="0"/>
                <w:dstrike w:val="0"/>
                <w:color w:val="auto"/>
                <w:highlight w:val="none"/>
                <w:lang w:val="en-US" w:eastAsia="zh-CN"/>
              </w:rPr>
              <w:t>涉重金属重点行业企业</w:t>
            </w:r>
            <w:r>
              <w:rPr>
                <w:rFonts w:hint="default" w:ascii="Times New Roman" w:hAnsi="Times New Roman" w:cs="Times New Roman" w:eastAsiaTheme="minorEastAsia"/>
                <w:strike w:val="0"/>
                <w:dstrike w:val="0"/>
                <w:color w:val="auto"/>
                <w:highlight w:val="none"/>
                <w:lang w:val="en-US" w:eastAsia="zh-CN"/>
              </w:rPr>
              <w:t>应当采用新技术、新工艺，加快提标升级改造，坚决淘汰不符合国家产业政策的落后生产工艺装备，执行重点重金属污染物排放总量控制制度，依法实施强制性清洁生产审核，减少重点重金属污染物排放。</w:t>
            </w:r>
          </w:p>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尾矿库运营、管理单位应当加强尾矿库管理，完善污染治理设施，建立风险管控制度，开展环境风险隐患排查、风险管控与治理修复。危库、险库、病库以及其他需要重点监管的尾矿库的运营、管理单位应当按照规定进行土壤和地下水污染状况监测和定期评估，并建立污染事故应急处置机</w:t>
            </w:r>
            <w:r>
              <w:rPr>
                <w:rFonts w:hint="default"/>
                <w:color w:val="auto"/>
                <w:highlight w:val="none"/>
                <w:lang w:val="en-US" w:eastAsia="zh-CN"/>
              </w:rPr>
              <w:t>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44"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ZH45022530001</w:t>
            </w:r>
          </w:p>
        </w:tc>
        <w:tc>
          <w:tcPr>
            <w:tcW w:w="216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highlight w:val="none"/>
              </w:rPr>
            </w:pPr>
            <w:r>
              <w:rPr>
                <w:rFonts w:hint="default" w:eastAsiaTheme="minorEastAsia"/>
                <w:color w:val="auto"/>
                <w:highlight w:val="none"/>
              </w:rPr>
              <w:t>融水苗族自治县一般管控单元</w:t>
            </w:r>
          </w:p>
        </w:tc>
        <w:tc>
          <w:tcPr>
            <w:tcW w:w="1253"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一般管控单元</w:t>
            </w:r>
          </w:p>
        </w:tc>
        <w:tc>
          <w:tcPr>
            <w:tcW w:w="1147"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rPr>
              <w:t>空间布局约束</w:t>
            </w:r>
          </w:p>
        </w:tc>
        <w:tc>
          <w:tcPr>
            <w:tcW w:w="8317" w:type="dxa"/>
            <w:shd w:val="clear" w:color="auto" w:fill="auto"/>
            <w:vAlign w:val="center"/>
          </w:tcPr>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永久基本农田一经划定，任何单位和个人不得擅自占用或改变用途。禁止任何单位和个人破坏永久基本农田耕作层。对永久基本农田实行严格保护，确保其面积不减少、土壤环境质量不下降，除法律规定的重点建设项目选址确实无法避让外，其他任何建设不得占用。</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在永久基本农田集中区域，不得新建可能造成土壤污染的建设项目；已经建成的，应当限期关闭拆除。</w:t>
            </w:r>
          </w:p>
          <w:p>
            <w:pPr>
              <w:pStyle w:val="27"/>
              <w:keepNext w:val="0"/>
              <w:keepLines w:val="0"/>
              <w:suppressLineNumbers w:val="0"/>
              <w:spacing w:before="0" w:beforeAutospacing="0" w:after="0" w:afterAutospacing="0"/>
              <w:ind w:left="0" w:right="0"/>
              <w:jc w:val="left"/>
              <w:rPr>
                <w:rFonts w:hint="default" w:ascii="Times New Roman" w:hAnsi="Times New Roman" w:cs="Times New Roman" w:eastAsiaTheme="minorEastAsia"/>
                <w:strike w:val="0"/>
                <w:dstrike w:val="0"/>
                <w:color w:val="auto"/>
                <w:highlight w:val="none"/>
              </w:rPr>
            </w:pPr>
            <w:r>
              <w:rPr>
                <w:rFonts w:hint="default" w:cs="Times New Roman" w:eastAsiaTheme="minorEastAsia"/>
                <w:strike w:val="0"/>
                <w:dstrike w:val="0"/>
                <w:color w:val="auto"/>
                <w:highlight w:val="none"/>
                <w:lang w:val="en-US" w:eastAsia="zh-CN"/>
              </w:rPr>
              <w:t>3</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禁止将重金属或者其他有毒有害物质含量超标的工业固体废物、生活垃圾或者污染土壤用于土地复垦。</w:t>
            </w:r>
          </w:p>
        </w:tc>
      </w:tr>
    </w:tbl>
    <w:p>
      <w:pPr>
        <w:widowControl/>
        <w:jc w:val="left"/>
        <w:rPr>
          <w:rFonts w:ascii="Times New Roman" w:hAnsi="Times New Roman" w:cs="Times New Roman"/>
          <w:strike w:val="0"/>
          <w:dstrike w:val="0"/>
          <w:color w:val="auto"/>
          <w:szCs w:val="21"/>
          <w:highlight w:val="none"/>
        </w:rPr>
      </w:pPr>
      <w:r>
        <w:rPr>
          <w:rFonts w:ascii="Times New Roman" w:hAnsi="Times New Roman" w:cs="Times New Roman"/>
          <w:strike w:val="0"/>
          <w:dstrike w:val="0"/>
          <w:color w:val="auto"/>
          <w:szCs w:val="21"/>
          <w:highlight w:val="none"/>
        </w:rPr>
        <w:br w:type="page"/>
      </w:r>
    </w:p>
    <w:p>
      <w:pPr>
        <w:pStyle w:val="3"/>
        <w:rPr>
          <w:rFonts w:ascii="Times New Roman" w:hAnsi="Times New Roman" w:cs="Times New Roman"/>
          <w:strike w:val="0"/>
          <w:dstrike w:val="0"/>
          <w:color w:val="auto"/>
          <w:highlight w:val="none"/>
        </w:rPr>
      </w:pPr>
      <w:bookmarkStart w:id="92" w:name="_Toc373"/>
      <w:bookmarkStart w:id="93" w:name="_Toc17940"/>
      <w:bookmarkStart w:id="94" w:name="_Toc22889"/>
      <w:bookmarkStart w:id="95" w:name="_Toc30927"/>
      <w:bookmarkStart w:id="96" w:name="_Toc22007"/>
      <w:bookmarkStart w:id="97" w:name="_Toc15488"/>
      <w:bookmarkStart w:id="98" w:name="_Toc24959"/>
      <w:bookmarkStart w:id="99" w:name="_Toc22450"/>
      <w:bookmarkStart w:id="100" w:name="_Toc27601847"/>
      <w:bookmarkStart w:id="101" w:name="_Toc1188"/>
      <w:bookmarkStart w:id="102" w:name="_Toc4084"/>
      <w:r>
        <w:rPr>
          <w:rFonts w:ascii="Times New Roman" w:hAnsi="Times New Roman" w:cs="Times New Roman"/>
          <w:strike w:val="0"/>
          <w:dstrike w:val="0"/>
          <w:color w:val="auto"/>
          <w:highlight w:val="none"/>
        </w:rPr>
        <w:t>10</w:t>
      </w:r>
      <w:r>
        <w:rPr>
          <w:rFonts w:hint="default" w:ascii="Times New Roman" w:hAnsi="Times New Roman" w:cs="Times New Roman"/>
          <w:strike w:val="0"/>
          <w:dstrike w:val="0"/>
          <w:color w:val="auto"/>
          <w:highlight w:val="none"/>
          <w:lang w:val="en-US" w:eastAsia="zh-CN"/>
        </w:rPr>
        <w:t xml:space="preserve"> </w:t>
      </w:r>
      <w:r>
        <w:rPr>
          <w:rFonts w:ascii="Times New Roman" w:hAnsi="Times New Roman" w:cs="Times New Roman"/>
          <w:strike w:val="0"/>
          <w:dstrike w:val="0"/>
          <w:color w:val="auto"/>
          <w:highlight w:val="none"/>
        </w:rPr>
        <w:t>三江侗族自治县</w:t>
      </w:r>
      <w:bookmarkEnd w:id="92"/>
      <w:bookmarkEnd w:id="93"/>
      <w:bookmarkEnd w:id="94"/>
      <w:bookmarkEnd w:id="95"/>
      <w:bookmarkEnd w:id="96"/>
      <w:bookmarkEnd w:id="97"/>
      <w:bookmarkEnd w:id="98"/>
      <w:bookmarkEnd w:id="99"/>
      <w:bookmarkEnd w:id="100"/>
      <w:bookmarkEnd w:id="101"/>
      <w:bookmarkEnd w:id="102"/>
    </w:p>
    <w:p>
      <w:pPr>
        <w:pStyle w:val="25"/>
        <w:rPr>
          <w:rFonts w:ascii="Times New Roman" w:hAnsi="Times New Roman"/>
          <w:strike w:val="0"/>
          <w:dstrike w:val="0"/>
          <w:color w:val="auto"/>
          <w:highlight w:val="none"/>
        </w:rPr>
      </w:pPr>
      <w:r>
        <w:rPr>
          <w:rFonts w:hint="default" w:ascii="Times New Roman" w:hAnsi="Times New Roman" w:cs="Times New Roman"/>
          <w:strike w:val="0"/>
          <w:dstrike w:val="0"/>
          <w:color w:val="auto"/>
          <w:highlight w:val="none"/>
        </w:rPr>
        <w:t>表</w:t>
      </w:r>
      <w:r>
        <w:rPr>
          <w:rFonts w:hint="default"/>
          <w:strike w:val="0"/>
          <w:dstrike w:val="0"/>
          <w:color w:val="auto"/>
          <w:highlight w:val="none"/>
          <w:lang w:val="en-US" w:eastAsia="zh-CN"/>
        </w:rPr>
        <w:t>10-1</w:t>
      </w:r>
      <w:r>
        <w:rPr>
          <w:rFonts w:ascii="Times New Roman" w:hAnsi="Times New Roman"/>
          <w:strike w:val="0"/>
          <w:dstrike w:val="0"/>
          <w:color w:val="auto"/>
          <w:highlight w:val="none"/>
        </w:rPr>
        <w:t xml:space="preserve">  柳州市三江侗族自治县</w:t>
      </w:r>
      <w:r>
        <w:rPr>
          <w:rFonts w:hint="default" w:ascii="Times New Roman" w:hAnsi="Times New Roman" w:cs="Times New Roman"/>
          <w:strike w:val="0"/>
          <w:dstrike w:val="0"/>
          <w:color w:val="auto"/>
          <w:highlight w:val="none"/>
          <w:lang w:val="en-US" w:eastAsia="zh-CN"/>
        </w:rPr>
        <w:t>生态环境准入及管控要求</w:t>
      </w:r>
    </w:p>
    <w:tbl>
      <w:tblPr>
        <w:tblStyle w:val="15"/>
        <w:tblW w:w="13936" w:type="dxa"/>
        <w:jc w:val="center"/>
        <w:tblInd w:w="-1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920"/>
        <w:gridCol w:w="1200"/>
        <w:gridCol w:w="1106"/>
        <w:gridCol w:w="8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tblHeader/>
          <w:jc w:val="center"/>
        </w:trPr>
        <w:tc>
          <w:tcPr>
            <w:tcW w:w="1388" w:type="dxa"/>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环境管控单元编码</w:t>
            </w:r>
          </w:p>
        </w:tc>
        <w:tc>
          <w:tcPr>
            <w:tcW w:w="1920" w:type="dxa"/>
            <w:shd w:val="clear" w:color="auto" w:fill="auto"/>
            <w:vAlign w:val="center"/>
          </w:tcPr>
          <w:p>
            <w:pPr>
              <w:pStyle w:val="29"/>
              <w:keepNext w:val="0"/>
              <w:keepLines w:val="0"/>
              <w:suppressLineNumbers w:val="0"/>
              <w:spacing w:before="0" w:beforeAutospacing="0" w:after="0" w:afterAutospacing="0"/>
              <w:ind w:left="0" w:right="0"/>
              <w:jc w:val="both"/>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环境管控单元名称</w:t>
            </w:r>
          </w:p>
        </w:tc>
        <w:tc>
          <w:tcPr>
            <w:tcW w:w="1200" w:type="dxa"/>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环境管控单元类别</w:t>
            </w:r>
          </w:p>
        </w:tc>
        <w:tc>
          <w:tcPr>
            <w:tcW w:w="9428" w:type="dxa"/>
            <w:gridSpan w:val="2"/>
            <w:shd w:val="clear" w:color="auto" w:fill="auto"/>
            <w:vAlign w:val="center"/>
          </w:tcPr>
          <w:p>
            <w:pPr>
              <w:pStyle w:val="29"/>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b/>
                <w:bCs/>
                <w:color w:val="auto"/>
                <w:highlight w:val="none"/>
                <w:lang w:val="en-US" w:eastAsia="zh-CN"/>
              </w:rPr>
              <w:t>生态环境准入及管控要求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6" w:hRule="atLeast"/>
          <w:jc w:val="center"/>
        </w:trPr>
        <w:tc>
          <w:tcPr>
            <w:tcW w:w="1388"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eastAsiaTheme="minorEastAsia"/>
                <w:color w:val="auto"/>
                <w:highlight w:val="none"/>
              </w:rPr>
              <w:t>ZH45022610001</w:t>
            </w:r>
          </w:p>
        </w:tc>
        <w:tc>
          <w:tcPr>
            <w:tcW w:w="192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eastAsiaTheme="minorEastAsia"/>
                <w:strike w:val="0"/>
                <w:dstrike w:val="0"/>
                <w:color w:val="auto"/>
                <w:highlight w:val="none"/>
              </w:rPr>
            </w:pPr>
            <w:r>
              <w:rPr>
                <w:rFonts w:hint="default" w:eastAsiaTheme="minorEastAsia"/>
                <w:color w:val="auto"/>
                <w:highlight w:val="none"/>
              </w:rPr>
              <w:t>桂北山地水源涵养与生物多样性维护生态保护红线</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优先保护单元</w:t>
            </w:r>
          </w:p>
        </w:tc>
        <w:tc>
          <w:tcPr>
            <w:tcW w:w="110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空间布局约束</w:t>
            </w:r>
          </w:p>
        </w:tc>
        <w:tc>
          <w:tcPr>
            <w:tcW w:w="8322" w:type="dxa"/>
            <w:shd w:val="clear" w:color="auto" w:fill="auto"/>
            <w:vAlign w:val="center"/>
          </w:tcPr>
          <w:p>
            <w:pPr>
              <w:pStyle w:val="27"/>
              <w:keepNext w:val="0"/>
              <w:keepLines w:val="0"/>
              <w:suppressLineNumbers w:val="0"/>
              <w:spacing w:before="0" w:beforeAutospacing="0" w:after="0" w:afterAutospacing="0"/>
              <w:ind w:left="0" w:right="0"/>
              <w:rPr>
                <w:rFonts w:hint="default"/>
                <w:color w:val="auto"/>
                <w:highlight w:val="none"/>
              </w:rPr>
            </w:pPr>
            <w:r>
              <w:rPr>
                <w:rFonts w:hint="default"/>
                <w:color w:val="auto"/>
                <w:highlight w:val="none"/>
              </w:rPr>
              <w:t>1</w:t>
            </w:r>
            <w:r>
              <w:rPr>
                <w:rFonts w:hint="default"/>
                <w:color w:val="auto"/>
                <w:highlight w:val="none"/>
                <w:lang w:eastAsia="zh-CN"/>
              </w:rPr>
              <w:t>．</w:t>
            </w:r>
            <w:r>
              <w:rPr>
                <w:rFonts w:hint="default"/>
                <w:color w:val="auto"/>
                <w:highlight w:val="none"/>
              </w:rPr>
              <w:t>原则上按禁止开发区域的要求进行管理。严禁不符合主体功能定位的各类开发活动，严禁任意改变用途，严格禁止任何单位和个人擅自占用和改变用地性质。</w:t>
            </w:r>
          </w:p>
          <w:p>
            <w:pPr>
              <w:pStyle w:val="27"/>
              <w:keepNext w:val="0"/>
              <w:keepLines w:val="0"/>
              <w:suppressLineNumbers w:val="0"/>
              <w:spacing w:before="0" w:beforeAutospacing="0" w:after="0" w:afterAutospacing="0"/>
              <w:ind w:left="0" w:right="0"/>
              <w:rPr>
                <w:rFonts w:hint="default"/>
                <w:color w:val="auto"/>
                <w:highlight w:val="none"/>
              </w:rPr>
            </w:pPr>
            <w:r>
              <w:rPr>
                <w:rFonts w:hint="default"/>
                <w:color w:val="auto"/>
                <w:highlight w:val="none"/>
              </w:rPr>
              <w:t>2</w:t>
            </w:r>
            <w:r>
              <w:rPr>
                <w:rFonts w:hint="default"/>
                <w:color w:val="auto"/>
                <w:highlight w:val="none"/>
                <w:lang w:eastAsia="zh-CN"/>
              </w:rPr>
              <w:t>．</w:t>
            </w:r>
            <w:r>
              <w:rPr>
                <w:rFonts w:hint="default"/>
                <w:color w:val="auto"/>
                <w:highlight w:val="none"/>
              </w:rPr>
              <w:t>在符合现行法律法规前提下，除国家重大战略项目外，仅允许对生态功能不造成破坏的有限人为活动。</w:t>
            </w:r>
          </w:p>
          <w:p>
            <w:pPr>
              <w:pStyle w:val="27"/>
              <w:keepNext w:val="0"/>
              <w:keepLines w:val="0"/>
              <w:suppressLineNumbers w:val="0"/>
              <w:spacing w:before="0" w:beforeAutospacing="0" w:after="0" w:afterAutospacing="0"/>
              <w:ind w:left="0" w:right="0"/>
              <w:rPr>
                <w:rFonts w:hint="default"/>
                <w:color w:val="auto"/>
                <w:highlight w:val="none"/>
              </w:rPr>
            </w:pPr>
            <w:r>
              <w:rPr>
                <w:rFonts w:hint="default"/>
                <w:color w:val="auto"/>
                <w:highlight w:val="none"/>
              </w:rPr>
              <w:t>3</w:t>
            </w:r>
            <w:r>
              <w:rPr>
                <w:rFonts w:hint="default"/>
                <w:color w:val="auto"/>
                <w:highlight w:val="none"/>
                <w:lang w:eastAsia="zh-CN"/>
              </w:rPr>
              <w:t>．</w:t>
            </w:r>
            <w:r>
              <w:rPr>
                <w:rFonts w:hint="default"/>
                <w:color w:val="auto"/>
                <w:highlight w:val="none"/>
              </w:rPr>
              <w:t>前述所列有限人为活动按照《中共中央办公厅 国务院办公厅印发＜关于在国土空间规划中统筹划定落实三条控制线的指导意见＞》和</w:t>
            </w:r>
            <w:r>
              <w:rPr>
                <w:rFonts w:hint="eastAsia"/>
                <w:color w:val="auto"/>
                <w:highlight w:val="none"/>
                <w:lang w:eastAsia="zh-CN"/>
              </w:rPr>
              <w:t>自治区级</w:t>
            </w:r>
            <w:r>
              <w:rPr>
                <w:rFonts w:hint="default"/>
                <w:color w:val="auto"/>
                <w:highlight w:val="none"/>
              </w:rPr>
              <w:t>环境管控及准入要求清单进行。</w:t>
            </w:r>
          </w:p>
          <w:p>
            <w:pPr>
              <w:pStyle w:val="27"/>
              <w:keepNext w:val="0"/>
              <w:keepLines w:val="0"/>
              <w:suppressLineNumbers w:val="0"/>
              <w:spacing w:before="0" w:beforeAutospacing="0" w:after="0" w:afterAutospacing="0"/>
              <w:ind w:left="0" w:right="0"/>
              <w:rPr>
                <w:rFonts w:hint="default"/>
                <w:color w:val="auto"/>
                <w:highlight w:val="none"/>
              </w:rPr>
            </w:pPr>
            <w:r>
              <w:rPr>
                <w:rFonts w:hint="default"/>
                <w:color w:val="auto"/>
                <w:highlight w:val="none"/>
              </w:rPr>
              <w:t>4</w:t>
            </w:r>
            <w:r>
              <w:rPr>
                <w:rFonts w:hint="default"/>
                <w:color w:val="auto"/>
                <w:highlight w:val="none"/>
                <w:lang w:eastAsia="zh-CN"/>
              </w:rPr>
              <w:t>．</w:t>
            </w:r>
            <w:r>
              <w:rPr>
                <w:rFonts w:hint="default"/>
                <w:color w:val="auto"/>
                <w:highlight w:val="none"/>
              </w:rPr>
              <w:t>饮用水水源保护区以及生态公益林、天然林还需执行国家、自治区以及市县相应法律法规要求。</w:t>
            </w:r>
          </w:p>
          <w:p>
            <w:pPr>
              <w:pStyle w:val="27"/>
              <w:keepNext w:val="0"/>
              <w:keepLines w:val="0"/>
              <w:suppressLineNumbers w:val="0"/>
              <w:spacing w:before="0" w:beforeAutospacing="0" w:after="0" w:afterAutospacing="0"/>
              <w:ind w:left="0" w:right="0"/>
              <w:rPr>
                <w:rFonts w:hint="default" w:ascii="Times New Roman" w:hAnsi="Times New Roman" w:eastAsiaTheme="minorEastAsia"/>
                <w:strike w:val="0"/>
                <w:dstrike w:val="0"/>
                <w:color w:val="auto"/>
                <w:highlight w:val="none"/>
              </w:rPr>
            </w:pPr>
            <w:r>
              <w:rPr>
                <w:rFonts w:hint="default"/>
                <w:color w:val="auto"/>
                <w:highlight w:val="none"/>
              </w:rPr>
              <w:t>5</w:t>
            </w:r>
            <w:r>
              <w:rPr>
                <w:rFonts w:hint="default"/>
                <w:color w:val="auto"/>
                <w:highlight w:val="none"/>
                <w:lang w:eastAsia="zh-CN"/>
              </w:rPr>
              <w:t>．</w:t>
            </w:r>
            <w:r>
              <w:rPr>
                <w:rFonts w:hint="default"/>
                <w:color w:val="auto"/>
                <w:highlight w:val="none"/>
              </w:rPr>
              <w:t>《生态保护红线管理办法》出台后，按其规定执行。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5" w:hRule="atLeast"/>
          <w:jc w:val="center"/>
        </w:trPr>
        <w:tc>
          <w:tcPr>
            <w:tcW w:w="1388"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eastAsiaTheme="minorEastAsia"/>
                <w:strike/>
                <w:dstrike w:val="0"/>
                <w:color w:val="auto"/>
                <w:highlight w:val="none"/>
              </w:rPr>
            </w:pPr>
            <w:r>
              <w:rPr>
                <w:rFonts w:hint="default" w:eastAsiaTheme="minorEastAsia"/>
                <w:color w:val="auto"/>
                <w:highlight w:val="none"/>
              </w:rPr>
              <w:t>ZH45022610002</w:t>
            </w:r>
          </w:p>
        </w:tc>
        <w:tc>
          <w:tcPr>
            <w:tcW w:w="1920" w:type="dxa"/>
            <w:shd w:val="clear" w:color="auto" w:fill="auto"/>
            <w:vAlign w:val="center"/>
          </w:tcPr>
          <w:p>
            <w:pPr>
              <w:pStyle w:val="27"/>
              <w:keepNext w:val="0"/>
              <w:keepLines w:val="0"/>
              <w:suppressLineNumbers w:val="0"/>
              <w:spacing w:before="0" w:beforeAutospacing="0" w:after="0" w:afterAutospacing="0"/>
              <w:ind w:left="0" w:leftChars="0" w:right="0" w:rightChars="0"/>
              <w:jc w:val="both"/>
              <w:rPr>
                <w:rFonts w:hint="default" w:ascii="Times New Roman" w:hAnsi="Times New Roman" w:eastAsiaTheme="minorEastAsia"/>
                <w:strike/>
                <w:dstrike w:val="0"/>
                <w:color w:val="auto"/>
                <w:highlight w:val="none"/>
                <w:lang w:val="en-US" w:eastAsia="zh-CN"/>
              </w:rPr>
            </w:pPr>
            <w:r>
              <w:rPr>
                <w:rFonts w:hint="default" w:eastAsiaTheme="minorEastAsia"/>
                <w:color w:val="auto"/>
                <w:highlight w:val="none"/>
              </w:rPr>
              <w:t>寻江饮用水水源地一般生态空间</w:t>
            </w:r>
          </w:p>
        </w:tc>
        <w:tc>
          <w:tcPr>
            <w:tcW w:w="1200"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eastAsiaTheme="minorEastAsia"/>
                <w:strike/>
                <w:dstrike w:val="0"/>
                <w:color w:val="auto"/>
                <w:highlight w:val="none"/>
                <w:lang w:val="en-US" w:eastAsia="zh-CN"/>
              </w:rPr>
            </w:pPr>
            <w:r>
              <w:rPr>
                <w:rFonts w:hint="default" w:ascii="Times New Roman" w:hAnsi="Times New Roman" w:eastAsiaTheme="minorEastAsia"/>
                <w:strike w:val="0"/>
                <w:dstrike w:val="0"/>
                <w:color w:val="auto"/>
                <w:highlight w:val="none"/>
              </w:rPr>
              <w:t>优先保护单元</w:t>
            </w:r>
          </w:p>
        </w:tc>
        <w:tc>
          <w:tcPr>
            <w:tcW w:w="1106"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eastAsiaTheme="minorEastAsia"/>
                <w:strike/>
                <w:dstrike w:val="0"/>
                <w:color w:val="auto"/>
                <w:highlight w:val="none"/>
              </w:rPr>
            </w:pPr>
            <w:r>
              <w:rPr>
                <w:rFonts w:hint="default" w:ascii="Times New Roman" w:hAnsi="Times New Roman" w:eastAsiaTheme="minorEastAsia"/>
                <w:strike w:val="0"/>
                <w:dstrike w:val="0"/>
                <w:color w:val="auto"/>
                <w:highlight w:val="none"/>
              </w:rPr>
              <w:t>空间布局约束</w:t>
            </w:r>
          </w:p>
        </w:tc>
        <w:tc>
          <w:tcPr>
            <w:tcW w:w="8322" w:type="dxa"/>
            <w:shd w:val="clear" w:color="auto" w:fill="auto"/>
            <w:vAlign w:val="center"/>
          </w:tcPr>
          <w:p>
            <w:pPr>
              <w:ind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按照《饮用水水源保护区污染防治管理规定》《中华人民共和国水污染防治法》《广西壮族自治区饮用水水源保护条例》《广西壮族自治区水污染防治条例》等相关法律法规进行管理。</w:t>
            </w:r>
          </w:p>
          <w:p>
            <w:pPr>
              <w:ind w:firstLine="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rPr>
              <w:t>依据《国家级公益林管理办法》（林资发〔2017〕34号）进行管理，严格控制勘查、开采矿藏和工程建设使用国家级公益林地。确需使用的，严格按照《建设项目使用林地审核审批管理办法》有关规定办理使用林地手续。涉及林木采伐的，按相关规定依法办理林木采伐手续。经审核审批同意使用的国家级公益林地，可按规定实行占补平衡。一级国家级公益林原则上不得开展生产经营活动，严禁打枝、采脂、割漆、剥树皮、掘根等行为。二级国家级公益林在不影响整体森林生态系统功能发挥的前提下，可以按照相关技术规程的规定开展抚育和更新性质的采伐。在不破坏森林植被的前提下，可以合理利用其林地资源，适度开展林下种植养殖和森林游憩等非木质资源开发与利用，科学发展林下经济。</w:t>
            </w:r>
          </w:p>
          <w:p>
            <w:pPr>
              <w:keepNext w:val="0"/>
              <w:keepLines w:val="0"/>
              <w:suppressLineNumbers w:val="0"/>
              <w:spacing w:before="0" w:beforeAutospacing="0" w:after="0" w:afterAutospacing="0"/>
              <w:ind w:left="0" w:leftChars="0" w:right="0" w:rightChars="0"/>
              <w:rPr>
                <w:rFonts w:hint="default" w:ascii="Times New Roman" w:hAnsi="Times New Roman" w:cs="Times New Roman" w:eastAsiaTheme="minorEastAsia"/>
                <w:strike/>
                <w:dstrike w:val="0"/>
                <w:color w:val="auto"/>
                <w:highlight w:val="none"/>
              </w:rPr>
            </w:pP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rPr>
              <w:t>对所有</w:t>
            </w:r>
            <w:r>
              <w:rPr>
                <w:rFonts w:hint="eastAsia" w:ascii="Times New Roman" w:hAnsi="Times New Roman" w:cs="Times New Roman"/>
                <w:color w:val="auto"/>
                <w:highlight w:val="none"/>
                <w:lang w:eastAsia="zh-CN"/>
              </w:rPr>
              <w:t>天然林</w:t>
            </w:r>
            <w:r>
              <w:rPr>
                <w:rFonts w:hint="default" w:ascii="Times New Roman" w:hAnsi="Times New Roman" w:cs="Times New Roman"/>
                <w:color w:val="auto"/>
                <w:highlight w:val="none"/>
              </w:rPr>
              <w:t>实行保护，禁止毁林开垦、将天然林改造为人工林以及其他破坏天然林及其生态环境的行为。对纳入保护重点区域的天然林，除森林病虫害防治、森林防火等维护天然林生态系统健康的必要措施外，禁止其他一切生产经营活动。开展天然林抚育作业的，必须编制作业设计，经林业主管部门审查批准后实施。严格控制天然林地转为其他用途，除国防建设、国家重大工程项目建设特色需要外，禁止占用保护重点区域的天然林地。在不破坏地表植被、不影响生物多样性保护前提下，可在天然林地适度发展生态旅游、休闲康养、特色种植养殖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88"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eastAsiaTheme="minorEastAsia"/>
                <w:color w:val="auto"/>
                <w:highlight w:val="none"/>
              </w:rPr>
              <w:t>ZH45022610003</w:t>
            </w:r>
          </w:p>
        </w:tc>
        <w:tc>
          <w:tcPr>
            <w:tcW w:w="192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eastAsiaTheme="minorEastAsia"/>
                <w:strike w:val="0"/>
                <w:dstrike w:val="0"/>
                <w:color w:val="auto"/>
                <w:highlight w:val="none"/>
              </w:rPr>
            </w:pPr>
            <w:r>
              <w:rPr>
                <w:rFonts w:hint="default" w:eastAsiaTheme="minorEastAsia"/>
                <w:color w:val="auto"/>
                <w:highlight w:val="none"/>
              </w:rPr>
              <w:t>三江侗族自治县其他优先保护单元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优先保护单元</w:t>
            </w:r>
          </w:p>
        </w:tc>
        <w:tc>
          <w:tcPr>
            <w:tcW w:w="110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空间布局约束</w:t>
            </w:r>
          </w:p>
        </w:tc>
        <w:tc>
          <w:tcPr>
            <w:tcW w:w="8322" w:type="dxa"/>
            <w:shd w:val="clear" w:color="auto" w:fill="auto"/>
            <w:vAlign w:val="center"/>
          </w:tcPr>
          <w:p>
            <w:pPr>
              <w:ind w:firstLine="0" w:firstLineChars="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．除符合国土空间规划建设和布局要求，以及市级以上矿产资源总体规划、能源开发利用规划、线性工程规划外，原则上按限制开发区域的要求进行管理。</w:t>
            </w:r>
          </w:p>
          <w:p>
            <w:pPr>
              <w:ind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矿产资源开发活动、新能源建设项目以及线性工程项目等要符合法律法规以及主体功能区规划、生态功能区划、环境保护总体规划、行业规划等规划要求，不得破坏生态、降低环境质量。要优化项目选址布局，严格控制开采量和开采区域，减少对生态空间的占用，不影响区域主导生态功能。要采取更加严格和有效的预防和保护措施，避免和减轻开发活动造成的生态破坏和环境污染。要严格落实项目环评的跟踪监测计划，项目开采（开工）、闭矿、跟踪监测要及时向所在地生态环境部门进行报备。加强矿山开采项目及其闭矿的环保督察，开展矿山区域生态环境质量飞行抽检。乡村振兴项目建设的审批简化和豁免要符合有关规定，不得影响区域主导生态功能、降低区域生态环境质量。</w:t>
            </w:r>
          </w:p>
          <w:p>
            <w:pPr>
              <w:ind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生物多样性维护功能极重要区</w:t>
            </w:r>
            <w:r>
              <w:rPr>
                <w:rFonts w:hint="default" w:ascii="Times New Roman" w:hAnsi="Times New Roman" w:cs="Times New Roman"/>
                <w:color w:val="auto"/>
                <w:highlight w:val="none"/>
                <w:lang w:eastAsia="zh-CN"/>
              </w:rPr>
              <w:t>内</w:t>
            </w:r>
            <w:r>
              <w:rPr>
                <w:rFonts w:hint="default" w:ascii="Times New Roman" w:hAnsi="Times New Roman" w:cs="Times New Roman"/>
                <w:color w:val="auto"/>
                <w:highlight w:val="none"/>
              </w:rPr>
              <w:t>禁止滥捕、乱采、乱猎野生动植物。保护自然生态系统与重要物种栖息地，禁止无序采矿、毁林开荒、湿地和草地开垦等各种损害栖息地的经济社会活动和生产方式。防止生态建设导致栖息环境的改变。加强对外来物种入侵的控制，禁止在生物多样性保护功能区引进外来物种。加强生物多样性资源调查与监测，保护和修复自然生态系统和重要物种栖息地，实施生物多样性保护工程。</w:t>
            </w:r>
          </w:p>
          <w:p>
            <w:pPr>
              <w:ind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水源涵养功能（极）重要区</w:t>
            </w:r>
            <w:r>
              <w:rPr>
                <w:rFonts w:hint="default" w:ascii="Times New Roman" w:hAnsi="Times New Roman" w:cs="Times New Roman"/>
                <w:color w:val="auto"/>
                <w:highlight w:val="none"/>
                <w:lang w:eastAsia="zh-CN"/>
              </w:rPr>
              <w:t>内</w:t>
            </w:r>
            <w:r>
              <w:rPr>
                <w:rFonts w:hint="default" w:ascii="Times New Roman" w:hAnsi="Times New Roman" w:cs="Times New Roman"/>
                <w:color w:val="auto"/>
                <w:highlight w:val="none"/>
              </w:rPr>
              <w:t>严格保护具有水源涵养功能的自然植被，禁止过度放牧、无序采矿、毁林开荒，限制或禁止湿地和草地开垦等损害生态系统水源涵养功能的活动。加强生态公益林改造和建设，通过封育恢复自然植被，促使其逐步向常绿阔叶林演化，提高水源涵养的功能；林产业向合理利用与保护建设相结合的生态型林业方向发展，保持森林生长与采伐利用的动态平衡，兼顾生态效益和经济效益，逐步恢复和改善地力；加强水土保持。</w:t>
            </w:r>
          </w:p>
          <w:p>
            <w:pPr>
              <w:ind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rPr>
              <w:t>依据《国家级公益林管理办法》（林资发〔2017〕34号）进行管理，严格控制勘查、开采矿藏和工程建设使用国家级公益林地。确需使用的，严格按照《建设项目使用林地审核审批管理办法》有关规定办理使用林地手续。涉及林木采伐的，按相关规定依法办理林木采伐手续。经审核审批同意使用的国家级公益林地，可按规定实行占补平衡。一级国家级公益林原则上不得开展生产经营活动，严禁打枝、采脂、割漆、剥树皮、掘根等行为。二级国家级公益林在不影响整体森林生态系统功能发挥的前提下，可以按照相关技术规程的规定开展抚育和更新性质的采伐。在不破坏森林植被的前提下，可以合理利用其林地资源，适度开展林下种植养殖和森林游憩等非木质资源开发与利用，科学发展林下经济。</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strike w:val="0"/>
                <w:dstrike w:val="0"/>
                <w:color w:val="auto"/>
                <w:szCs w:val="21"/>
                <w:highlight w:val="none"/>
              </w:rPr>
            </w:pP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对所有</w:t>
            </w:r>
            <w:r>
              <w:rPr>
                <w:rFonts w:hint="eastAsia" w:ascii="Times New Roman" w:hAnsi="Times New Roman" w:cs="Times New Roman"/>
                <w:color w:val="auto"/>
                <w:highlight w:val="none"/>
                <w:lang w:eastAsia="zh-CN"/>
              </w:rPr>
              <w:t>天然林</w:t>
            </w:r>
            <w:r>
              <w:rPr>
                <w:rFonts w:hint="default" w:ascii="Times New Roman" w:hAnsi="Times New Roman" w:cs="Times New Roman"/>
                <w:color w:val="auto"/>
                <w:highlight w:val="none"/>
              </w:rPr>
              <w:t>实行保护，禁止毁林开垦、将天然林改造为人工林以及其他破坏天然林及其生态环境的行为。对纳入保护重点区域的天然林，除森林病虫害防治、森林防火等维护天然林生态系统健康的必要措施外，禁止其他一切生产经营活动。开展天然林抚育作业的，必须编制作业设计，经林业主管部门审查批准后实施。严格控制天然林地转为其他用途，除国防建设、国家重大工程项目建设特色需要外，禁止占用保护重点区域的天然林地。在不破坏地表植被、不影响生物多样性保护前提下，可在天然林地适度发展生态旅游、休闲康养、特色种植养殖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88"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eastAsiaTheme="minorEastAsia"/>
                <w:color w:val="auto"/>
                <w:highlight w:val="none"/>
              </w:rPr>
              <w:t>ZH45022620001</w:t>
            </w:r>
          </w:p>
        </w:tc>
        <w:tc>
          <w:tcPr>
            <w:tcW w:w="192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eastAsiaTheme="minorEastAsia"/>
                <w:strike w:val="0"/>
                <w:dstrike w:val="0"/>
                <w:color w:val="auto"/>
                <w:highlight w:val="none"/>
              </w:rPr>
            </w:pPr>
            <w:r>
              <w:rPr>
                <w:rFonts w:hint="default" w:eastAsiaTheme="minorEastAsia"/>
                <w:color w:val="auto"/>
                <w:highlight w:val="none"/>
              </w:rPr>
              <w:t>三江县工业园区重点管控单元</w:t>
            </w:r>
          </w:p>
        </w:tc>
        <w:tc>
          <w:tcPr>
            <w:tcW w:w="1200"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重点管控单元</w:t>
            </w:r>
          </w:p>
        </w:tc>
        <w:tc>
          <w:tcPr>
            <w:tcW w:w="110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空间布局约束</w:t>
            </w:r>
          </w:p>
        </w:tc>
        <w:tc>
          <w:tcPr>
            <w:tcW w:w="8322" w:type="dxa"/>
            <w:shd w:val="clear" w:color="auto" w:fill="auto"/>
            <w:vAlign w:val="center"/>
          </w:tcPr>
          <w:p>
            <w:pPr>
              <w:pStyle w:val="27"/>
              <w:keepNext w:val="0"/>
              <w:keepLines w:val="0"/>
              <w:suppressLineNumbers w:val="0"/>
              <w:spacing w:before="0" w:beforeAutospacing="0" w:after="0" w:afterAutospacing="0"/>
              <w:ind w:left="0" w:leftChars="0" w:right="0" w:rightChars="0"/>
              <w:rPr>
                <w:rFonts w:hint="default" w:ascii="Times New Roman" w:hAnsi="Times New Roman" w:eastAsia="宋体" w:cs="Times New Roman"/>
                <w:strike w:val="0"/>
                <w:dstrike w:val="0"/>
                <w:color w:val="auto"/>
                <w:sz w:val="21"/>
                <w:szCs w:val="21"/>
                <w:highlight w:val="none"/>
              </w:rPr>
            </w:pPr>
            <w:r>
              <w:rPr>
                <w:rFonts w:hint="default" w:cs="Times New Roman"/>
                <w:strike w:val="0"/>
                <w:dstrike w:val="0"/>
                <w:color w:val="auto"/>
                <w:sz w:val="21"/>
                <w:szCs w:val="21"/>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eastAsia="宋体" w:cs="Times New Roman"/>
                <w:strike w:val="0"/>
                <w:dstrike w:val="0"/>
                <w:color w:val="auto"/>
                <w:sz w:val="21"/>
                <w:szCs w:val="21"/>
                <w:highlight w:val="none"/>
              </w:rPr>
              <w:t>入园项目必须符合国家、自治区产业政策、供地政策及园区产业定位。</w:t>
            </w:r>
          </w:p>
          <w:p>
            <w:pPr>
              <w:pStyle w:val="27"/>
              <w:keepNext w:val="0"/>
              <w:keepLines w:val="0"/>
              <w:suppressLineNumbers w:val="0"/>
              <w:spacing w:before="0" w:beforeAutospacing="0" w:after="0" w:afterAutospacing="0"/>
              <w:ind w:left="0" w:right="0"/>
              <w:rPr>
                <w:rFonts w:hint="default" w:ascii="Times New Roman" w:hAnsi="Times New Roman" w:eastAsiaTheme="minorEastAsia"/>
                <w:strike w:val="0"/>
                <w:dstrike w:val="0"/>
                <w:color w:val="auto"/>
                <w:highlight w:val="none"/>
              </w:rPr>
            </w:pPr>
            <w:r>
              <w:rPr>
                <w:rFonts w:hint="default" w:eastAsiaTheme="minorEastAsia"/>
                <w:strike w:val="0"/>
                <w:dstrike w:val="0"/>
                <w:color w:val="auto"/>
                <w:highlight w:val="none"/>
                <w:lang w:val="en-US" w:eastAsia="zh-CN"/>
              </w:rPr>
              <w:t>2</w:t>
            </w:r>
            <w:r>
              <w:rPr>
                <w:rFonts w:hint="default" w:eastAsiaTheme="minorEastAsia"/>
                <w:strike w:val="0"/>
                <w:dstrike w:val="0"/>
                <w:color w:val="auto"/>
                <w:highlight w:val="none"/>
                <w:lang w:eastAsia="zh-CN"/>
              </w:rPr>
              <w:t>．</w:t>
            </w:r>
            <w:r>
              <w:rPr>
                <w:rFonts w:hint="default" w:ascii="Times New Roman" w:hAnsi="Times New Roman" w:eastAsiaTheme="minorEastAsia"/>
                <w:strike w:val="0"/>
                <w:dstrike w:val="0"/>
                <w:color w:val="auto"/>
                <w:highlight w:val="none"/>
              </w:rPr>
              <w:t>工业用地与周边其他用地之间、交通干线两侧及交叉路口应规划建设足够的绿化防护带，降低工业企业生产噪声、道路交通噪声污染影响。</w:t>
            </w:r>
          </w:p>
          <w:p>
            <w:pPr>
              <w:pStyle w:val="27"/>
              <w:keepNext w:val="0"/>
              <w:keepLines w:val="0"/>
              <w:suppressLineNumbers w:val="0"/>
              <w:spacing w:before="0" w:beforeAutospacing="0" w:after="0" w:afterAutospacing="0"/>
              <w:ind w:left="0" w:right="0"/>
              <w:rPr>
                <w:rFonts w:hint="default" w:ascii="Times New Roman" w:hAnsi="Times New Roman" w:eastAsiaTheme="minorEastAsia"/>
                <w:strike w:val="0"/>
                <w:dstrike w:val="0"/>
                <w:color w:val="auto"/>
                <w:highlight w:val="none"/>
              </w:rPr>
            </w:pPr>
            <w:r>
              <w:rPr>
                <w:rFonts w:hint="default" w:eastAsiaTheme="minorEastAsia"/>
                <w:strike w:val="0"/>
                <w:dstrike w:val="0"/>
                <w:color w:val="auto"/>
                <w:highlight w:val="none"/>
                <w:lang w:val="en-US" w:eastAsia="zh-CN"/>
              </w:rPr>
              <w:t>3</w:t>
            </w:r>
            <w:r>
              <w:rPr>
                <w:rFonts w:hint="default" w:eastAsiaTheme="minorEastAsia"/>
                <w:strike w:val="0"/>
                <w:dstrike w:val="0"/>
                <w:color w:val="auto"/>
                <w:highlight w:val="none"/>
                <w:lang w:eastAsia="zh-CN"/>
              </w:rPr>
              <w:t>．</w:t>
            </w:r>
            <w:r>
              <w:rPr>
                <w:rFonts w:hint="default" w:ascii="Times New Roman" w:hAnsi="Times New Roman" w:eastAsiaTheme="minorEastAsia"/>
                <w:strike w:val="0"/>
                <w:dstrike w:val="0"/>
                <w:color w:val="auto"/>
                <w:highlight w:val="none"/>
              </w:rPr>
              <w:t>现有企业应落实环境防护距离控制要求，防护距离内不得新建居民住宅等环境敏感点。工业组团与居住区之间应设置生态廊带，各组团之间、生态敏感区周边应设置合理的防护距离和绿化隔离带。沙坪潺屯南面、北面界外应分别设置绿化隔离带，控制工业用地再向沙坪潺屯靠近，确保企业大气、卫生防护距离内无居民用房。</w:t>
            </w:r>
          </w:p>
          <w:p>
            <w:pPr>
              <w:pStyle w:val="27"/>
              <w:keepNext w:val="0"/>
              <w:keepLines w:val="0"/>
              <w:suppressLineNumbers w:val="0"/>
              <w:spacing w:before="0" w:beforeAutospacing="0" w:after="0" w:afterAutospacing="0"/>
              <w:ind w:left="0" w:right="0"/>
              <w:rPr>
                <w:rFonts w:hint="default" w:ascii="Times New Roman" w:hAnsi="Times New Roman" w:eastAsiaTheme="minorEastAsia"/>
                <w:strike w:val="0"/>
                <w:dstrike w:val="0"/>
                <w:color w:val="auto"/>
                <w:highlight w:val="none"/>
              </w:rPr>
            </w:pPr>
            <w:r>
              <w:rPr>
                <w:rFonts w:hint="default" w:eastAsiaTheme="minorEastAsia"/>
                <w:strike w:val="0"/>
                <w:dstrike w:val="0"/>
                <w:color w:val="auto"/>
                <w:highlight w:val="none"/>
                <w:lang w:val="en-US" w:eastAsia="zh-CN"/>
              </w:rPr>
              <w:t>4</w:t>
            </w:r>
            <w:r>
              <w:rPr>
                <w:rFonts w:hint="default" w:eastAsiaTheme="minorEastAsia"/>
                <w:strike w:val="0"/>
                <w:dstrike w:val="0"/>
                <w:color w:val="auto"/>
                <w:highlight w:val="none"/>
                <w:lang w:eastAsia="zh-CN"/>
              </w:rPr>
              <w:t>．</w:t>
            </w:r>
            <w:r>
              <w:rPr>
                <w:rFonts w:hint="default" w:ascii="Times New Roman" w:hAnsi="Times New Roman" w:eastAsiaTheme="minorEastAsia"/>
                <w:strike w:val="0"/>
                <w:dstrike w:val="0"/>
                <w:color w:val="auto"/>
                <w:highlight w:val="none"/>
              </w:rPr>
              <w:t>居住用地周边严控布局潜在污染扰民和环境风险突出的建设项目，工业组团内不宜设置集中居住区或搬迁居民安置区。</w:t>
            </w:r>
          </w:p>
          <w:p>
            <w:pPr>
              <w:pStyle w:val="27"/>
              <w:rPr>
                <w:rFonts w:hint="default" w:ascii="Times New Roman" w:hAnsi="Times New Roman" w:eastAsiaTheme="minorEastAsia"/>
                <w:color w:val="auto"/>
                <w:highlight w:val="none"/>
                <w:lang w:val="en-US" w:eastAsia="zh-CN"/>
              </w:rPr>
            </w:pPr>
            <w:r>
              <w:rPr>
                <w:rFonts w:hint="default" w:cs="Times New Roman" w:eastAsiaTheme="minorEastAsia"/>
                <w:strike w:val="0"/>
                <w:dstrike w:val="0"/>
                <w:color w:val="auto"/>
                <w:highlight w:val="none"/>
                <w:lang w:val="en-US" w:eastAsia="zh-CN"/>
              </w:rPr>
              <w:t>5</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lang w:val="en-US" w:eastAsia="zh-CN"/>
              </w:rPr>
              <w:t>新建大气</w:t>
            </w:r>
            <w:r>
              <w:rPr>
                <w:rFonts w:hint="default" w:ascii="Times New Roman" w:hAnsi="Times New Roman" w:eastAsiaTheme="minorEastAsia"/>
                <w:color w:val="auto"/>
                <w:highlight w:val="none"/>
                <w:lang w:val="en-US" w:eastAsia="zh-CN"/>
              </w:rPr>
              <w:t>污染物排放的工业项目，原则上应当进入工业园区或者工业集聚区；加快布局分散的企业向园区集中。</w:t>
            </w:r>
          </w:p>
          <w:p>
            <w:pPr>
              <w:pStyle w:val="27"/>
              <w:keepNext w:val="0"/>
              <w:keepLines w:val="0"/>
              <w:suppressLineNumbers w:val="0"/>
              <w:spacing w:before="0" w:beforeAutospacing="0" w:after="0" w:afterAutospacing="0"/>
              <w:ind w:left="0" w:right="0"/>
              <w:rPr>
                <w:rFonts w:hint="default" w:ascii="Times New Roman" w:hAnsi="Times New Roman" w:eastAsiaTheme="minorEastAsia"/>
                <w:strike w:val="0"/>
                <w:dstrike w:val="0"/>
                <w:color w:val="auto"/>
                <w:highlight w:val="none"/>
              </w:rPr>
            </w:pPr>
            <w:r>
              <w:rPr>
                <w:rFonts w:hint="default" w:eastAsiaTheme="minorEastAsia"/>
                <w:color w:val="auto"/>
                <w:highlight w:val="none"/>
                <w:lang w:val="en-US" w:eastAsia="zh-CN"/>
              </w:rPr>
              <w:t>6</w:t>
            </w:r>
            <w:r>
              <w:rPr>
                <w:rFonts w:hint="default" w:ascii="Times New Roman" w:hAnsi="Times New Roman" w:eastAsiaTheme="minorEastAsia"/>
                <w:color w:val="auto"/>
                <w:highlight w:val="none"/>
                <w:lang w:eastAsia="zh-CN"/>
              </w:rPr>
              <w:t>．</w:t>
            </w:r>
            <w:r>
              <w:rPr>
                <w:rFonts w:hint="default" w:eastAsiaTheme="minorEastAsia"/>
                <w:color w:val="auto"/>
                <w:highlight w:val="none"/>
                <w:lang w:val="en-US" w:eastAsia="zh-CN"/>
              </w:rPr>
              <w:t>产业园</w:t>
            </w:r>
            <w:r>
              <w:rPr>
                <w:rFonts w:hint="default" w:ascii="Times New Roman" w:hAnsi="Times New Roman" w:eastAsiaTheme="minorEastAsia"/>
                <w:color w:val="auto"/>
                <w:highlight w:val="none"/>
                <w:lang w:val="en-US" w:eastAsia="zh-CN"/>
              </w:rPr>
              <w:t>区管理机构应将规划环评结论及审查意见落实到规划中，负责统筹区域内生态环境基础设施</w:t>
            </w:r>
            <w:r>
              <w:rPr>
                <w:rFonts w:hint="default" w:ascii="Times New Roman" w:hAnsi="Times New Roman" w:cs="Times New Roman" w:eastAsiaTheme="minorEastAsia"/>
                <w:strike w:val="0"/>
                <w:dstrike w:val="0"/>
                <w:color w:val="auto"/>
                <w:highlight w:val="none"/>
                <w:lang w:val="en-US" w:eastAsia="zh-CN"/>
              </w:rPr>
              <w:t>建设，</w:t>
            </w:r>
            <w:r>
              <w:rPr>
                <w:rFonts w:hint="default" w:ascii="Times New Roman" w:hAnsi="Times New Roman" w:cs="Times New Roman" w:eastAsiaTheme="minorEastAsia"/>
                <w:color w:val="auto"/>
                <w:highlight w:val="none"/>
                <w:lang w:val="en-US" w:eastAsia="zh-CN"/>
              </w:rPr>
              <w:t>不得</w:t>
            </w:r>
            <w:r>
              <w:rPr>
                <w:rFonts w:hint="default" w:ascii="Times New Roman" w:hAnsi="Times New Roman" w:cs="Times New Roman" w:eastAsiaTheme="minorEastAsia"/>
                <w:strike w:val="0"/>
                <w:dstrike w:val="0"/>
                <w:color w:val="auto"/>
                <w:highlight w:val="none"/>
                <w:lang w:val="en-US" w:eastAsia="zh-CN"/>
              </w:rPr>
              <w:t>引入不符合规划环评结论及审查意见的项目入园。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88"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eastAsiaTheme="minorEastAsia"/>
                <w:strike w:val="0"/>
                <w:dstrike w:val="0"/>
                <w:color w:val="auto"/>
                <w:highlight w:val="none"/>
              </w:rPr>
            </w:pPr>
          </w:p>
        </w:tc>
        <w:tc>
          <w:tcPr>
            <w:tcW w:w="120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p>
        </w:tc>
        <w:tc>
          <w:tcPr>
            <w:tcW w:w="110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污染物排放管控</w:t>
            </w:r>
          </w:p>
        </w:tc>
        <w:tc>
          <w:tcPr>
            <w:tcW w:w="8322" w:type="dxa"/>
            <w:shd w:val="clear" w:color="auto" w:fill="auto"/>
            <w:vAlign w:val="center"/>
          </w:tcPr>
          <w:p>
            <w:pPr>
              <w:pStyle w:val="27"/>
              <w:rPr>
                <w:rFonts w:hint="default" w:ascii="Times New Roman" w:hAnsi="Times New Roman" w:eastAsiaTheme="minorEastAsia"/>
                <w:color w:val="auto"/>
                <w:highlight w:val="none"/>
                <w:lang w:val="en-US" w:eastAsia="zh-CN"/>
              </w:rPr>
            </w:pPr>
            <w:r>
              <w:rPr>
                <w:rFonts w:hint="default"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eastAsiaTheme="minorEastAsia"/>
                <w:color w:val="auto"/>
                <w:highlight w:val="none"/>
                <w:lang w:val="en-US" w:eastAsia="zh-CN"/>
              </w:rPr>
              <w:t>深化园区工业污染治理，持续推进工业污染源全面达标排放，开展烟气高效脱硫脱硝、除尘改造。推进各类园区技术、工艺、设备等生态化、循环化改造，积极推广园区集中供热。强化园区堆场扬尘控制。推动重点行业VOCs的排放管控，加强VOCs排放企业源头控制。</w:t>
            </w:r>
          </w:p>
          <w:p>
            <w:pPr>
              <w:pStyle w:val="27"/>
              <w:rPr>
                <w:rFonts w:hint="default" w:ascii="Times New Roman" w:hAnsi="Times New Roman" w:eastAsiaTheme="minorEastAsia"/>
                <w:color w:val="auto"/>
                <w:highlight w:val="none"/>
                <w:lang w:val="en-US" w:eastAsia="zh-CN"/>
              </w:rPr>
            </w:pPr>
            <w:r>
              <w:rPr>
                <w:rFonts w:hint="default" w:ascii="Times New Roman" w:hAnsi="Times New Roman" w:eastAsiaTheme="minorEastAsia"/>
                <w:color w:val="auto"/>
                <w:highlight w:val="none"/>
                <w:lang w:val="en-US" w:eastAsia="zh-CN"/>
              </w:rPr>
              <w:t>2</w:t>
            </w:r>
            <w:r>
              <w:rPr>
                <w:rFonts w:hint="default" w:ascii="Times New Roman" w:hAnsi="Times New Roman" w:eastAsiaTheme="minorEastAsia"/>
                <w:color w:val="auto"/>
                <w:highlight w:val="none"/>
                <w:lang w:eastAsia="zh-CN"/>
              </w:rPr>
              <w:t>．</w:t>
            </w:r>
            <w:r>
              <w:rPr>
                <w:rFonts w:hint="default" w:ascii="Times New Roman" w:hAnsi="Times New Roman" w:eastAsiaTheme="minorEastAsia"/>
                <w:color w:val="auto"/>
                <w:highlight w:val="none"/>
                <w:lang w:val="en-US" w:eastAsia="zh-CN"/>
              </w:rPr>
              <w:t>逐步完成工业集聚区集中式污水处理设施建设，确保已建污水处理设施稳定运行及达标排放。园区集中式污水处理设施总排口安装自动监控系统、视频监控系统，并与生态环境主管部门联网。按照“清污分流、雨污分流”原则，实施废水分类收集、分质处理。</w:t>
            </w:r>
          </w:p>
          <w:p>
            <w:pPr>
              <w:pStyle w:val="27"/>
              <w:keepNext w:val="0"/>
              <w:keepLines w:val="0"/>
              <w:suppressLineNumbers w:val="0"/>
              <w:spacing w:before="0" w:beforeAutospacing="0" w:after="0" w:afterAutospacing="0"/>
              <w:ind w:left="0" w:right="0"/>
              <w:rPr>
                <w:rFonts w:hint="default" w:ascii="Times New Roman" w:hAnsi="Times New Roman" w:eastAsiaTheme="minorEastAsia"/>
                <w:strike w:val="0"/>
                <w:dstrike w:val="0"/>
                <w:color w:val="auto"/>
                <w:highlight w:val="none"/>
              </w:rPr>
            </w:pPr>
            <w:r>
              <w:rPr>
                <w:rFonts w:hint="default" w:ascii="Times New Roman" w:hAnsi="Times New Roman" w:eastAsiaTheme="minorEastAsia"/>
                <w:color w:val="auto"/>
                <w:highlight w:val="none"/>
                <w:lang w:val="en-US" w:eastAsia="zh-CN"/>
              </w:rPr>
              <w:t>3</w:t>
            </w:r>
            <w:r>
              <w:rPr>
                <w:rFonts w:hint="default" w:ascii="Times New Roman" w:hAnsi="Times New Roman" w:eastAsiaTheme="minorEastAsia"/>
                <w:color w:val="auto"/>
                <w:highlight w:val="none"/>
                <w:lang w:eastAsia="zh-CN"/>
              </w:rPr>
              <w:t>．</w:t>
            </w:r>
            <w:r>
              <w:rPr>
                <w:rFonts w:hint="default" w:eastAsiaTheme="minorEastAsia"/>
                <w:color w:val="auto"/>
                <w:highlight w:val="none"/>
              </w:rPr>
              <w:t>园区及园区企业排放水污染物，要满足国家或者地方规定的水污染物排放标准和重点水污染物排放总量控制指标。直接外排水环境的，执行国家或者地方规定的标准要求；经城镇污水集中处理设施处理后排放的，执行市政部门管理要求；经园区污水集中处理设施处理后排放的，执行园区管理部门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88"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eastAsiaTheme="minorEastAsia"/>
                <w:strike w:val="0"/>
                <w:dstrike w:val="0"/>
                <w:color w:val="auto"/>
                <w:highlight w:val="none"/>
              </w:rPr>
            </w:pPr>
          </w:p>
        </w:tc>
        <w:tc>
          <w:tcPr>
            <w:tcW w:w="120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p>
        </w:tc>
        <w:tc>
          <w:tcPr>
            <w:tcW w:w="110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环境风险防控</w:t>
            </w:r>
          </w:p>
        </w:tc>
        <w:tc>
          <w:tcPr>
            <w:tcW w:w="8322"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开展环境风险评估，制定突发环境事件应急预案并备案，配备应急能力和物资，建设环境应急队伍，并定期演练。企业、园区与地方人民政府环境应急预案应当有机衔接。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88"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eastAsiaTheme="minorEastAsia"/>
                <w:color w:val="auto"/>
                <w:highlight w:val="none"/>
              </w:rPr>
              <w:t>ZH45022620002</w:t>
            </w:r>
          </w:p>
        </w:tc>
        <w:tc>
          <w:tcPr>
            <w:tcW w:w="192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eastAsiaTheme="minorEastAsia"/>
                <w:strike w:val="0"/>
                <w:dstrike w:val="0"/>
                <w:color w:val="auto"/>
                <w:highlight w:val="none"/>
              </w:rPr>
            </w:pPr>
            <w:r>
              <w:rPr>
                <w:rFonts w:hint="default" w:eastAsiaTheme="minorEastAsia"/>
                <w:color w:val="auto"/>
                <w:highlight w:val="none"/>
              </w:rPr>
              <w:t>三江侗族自治县城镇空间重点管控单元</w:t>
            </w:r>
          </w:p>
        </w:tc>
        <w:tc>
          <w:tcPr>
            <w:tcW w:w="1200"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重点管控单元</w:t>
            </w:r>
          </w:p>
        </w:tc>
        <w:tc>
          <w:tcPr>
            <w:tcW w:w="110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空间布局约束</w:t>
            </w:r>
          </w:p>
        </w:tc>
        <w:tc>
          <w:tcPr>
            <w:tcW w:w="8322"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eastAsia" w:cs="Times New Roman" w:eastAsiaTheme="minorEastAsia"/>
                <w:strike w:val="0"/>
                <w:dstrike w:val="0"/>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．城市建成区内的钢铁、石油、化工、有色金属、水泥、平板玻璃、建筑陶瓷、砖瓦等行业中的高排放、高污染项目，应当逐步进行搬迁、改造或者转型、退出。</w:t>
            </w:r>
          </w:p>
          <w:p>
            <w:pPr>
              <w:pStyle w:val="27"/>
              <w:keepNext w:val="0"/>
              <w:keepLines w:val="0"/>
              <w:suppressLineNumbers w:val="0"/>
              <w:spacing w:before="0" w:beforeAutospacing="0" w:after="0" w:afterAutospacing="0"/>
              <w:ind w:left="0" w:right="0"/>
              <w:rPr>
                <w:rFonts w:hint="default" w:ascii="Times New Roman" w:hAnsi="Times New Roman" w:eastAsiaTheme="minorEastAsia"/>
                <w:strike w:val="0"/>
                <w:dstrike w:val="0"/>
                <w:color w:val="auto"/>
                <w:highlight w:val="none"/>
              </w:rPr>
            </w:pPr>
            <w:r>
              <w:rPr>
                <w:rFonts w:hint="eastAsia" w:cs="Times New Roman" w:eastAsiaTheme="minorEastAsia"/>
                <w:strike w:val="0"/>
                <w:dstrike w:val="0"/>
                <w:color w:val="auto"/>
                <w:highlight w:val="none"/>
                <w:lang w:val="en-US" w:eastAsia="zh-CN"/>
              </w:rPr>
              <w:t>2</w:t>
            </w:r>
            <w:r>
              <w:rPr>
                <w:rFonts w:hint="default" w:ascii="Times New Roman" w:hAnsi="Times New Roman" w:cs="Times New Roman" w:eastAsiaTheme="minorEastAsia"/>
                <w:strike w:val="0"/>
                <w:dstrike w:val="0"/>
                <w:color w:val="auto"/>
                <w:highlight w:val="none"/>
                <w:lang w:eastAsia="zh-CN"/>
              </w:rPr>
              <w:t>．城市市区、镇和村庄居民区、文化教育科学研究区等人口集中区域禁止设置畜禽养殖场、养殖小区。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88"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eastAsiaTheme="minorEastAsia"/>
                <w:strike w:val="0"/>
                <w:dstrike w:val="0"/>
                <w:color w:val="auto"/>
                <w:highlight w:val="none"/>
              </w:rPr>
            </w:pPr>
          </w:p>
        </w:tc>
        <w:tc>
          <w:tcPr>
            <w:tcW w:w="120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p>
        </w:tc>
        <w:tc>
          <w:tcPr>
            <w:tcW w:w="110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污染物排放管控</w:t>
            </w:r>
          </w:p>
        </w:tc>
        <w:tc>
          <w:tcPr>
            <w:tcW w:w="8322" w:type="dxa"/>
            <w:shd w:val="clear" w:color="auto" w:fill="auto"/>
            <w:vAlign w:val="center"/>
          </w:tcPr>
          <w:p>
            <w:pPr>
              <w:pStyle w:val="27"/>
              <w:keepNext w:val="0"/>
              <w:keepLines w:val="0"/>
              <w:numPr>
                <w:ilvl w:val="0"/>
                <w:numId w:val="0"/>
              </w:numPr>
              <w:suppressLineNumbers w:val="0"/>
              <w:spacing w:before="0" w:beforeAutospacing="0" w:after="0" w:afterAutospacing="0"/>
              <w:ind w:left="0" w:right="0"/>
              <w:rPr>
                <w:rFonts w:hint="default" w:ascii="Times New Roman" w:hAnsi="Times New Roman" w:eastAsiaTheme="minorEastAsia"/>
                <w:color w:val="auto"/>
                <w:highlight w:val="none"/>
                <w:lang w:val="en-US" w:eastAsia="zh-CN"/>
              </w:rPr>
            </w:pPr>
            <w:r>
              <w:rPr>
                <w:rFonts w:hint="default"/>
                <w:color w:val="auto"/>
                <w:highlight w:val="none"/>
                <w:lang w:val="en-US" w:eastAsia="zh-CN"/>
              </w:rPr>
              <w:t>1</w:t>
            </w:r>
            <w:r>
              <w:rPr>
                <w:rFonts w:hint="default" w:ascii="Times New Roman" w:hAnsi="Times New Roman" w:cs="Times New Roman" w:eastAsiaTheme="minorEastAsia"/>
                <w:strike w:val="0"/>
                <w:dstrike w:val="0"/>
                <w:color w:val="auto"/>
                <w:highlight w:val="none"/>
                <w:lang w:eastAsia="zh-CN"/>
              </w:rPr>
              <w:t>．</w:t>
            </w:r>
            <w:r>
              <w:rPr>
                <w:rFonts w:hint="default"/>
                <w:color w:val="auto"/>
                <w:highlight w:val="none"/>
                <w:lang w:val="en-US" w:eastAsia="zh-CN"/>
              </w:rPr>
              <w:t>加大燃煤小锅炉淘汰力度。依法依规加快淘汰老旧柴油货车。严格控制施工和道路扬尘污染。禁止露天</w:t>
            </w:r>
            <w:r>
              <w:rPr>
                <w:rFonts w:hint="default" w:ascii="Times New Roman" w:hAnsi="Times New Roman" w:eastAsiaTheme="minorEastAsia"/>
                <w:color w:val="auto"/>
                <w:highlight w:val="none"/>
                <w:lang w:val="en-US" w:eastAsia="zh-CN"/>
              </w:rPr>
              <w:t>焚烧产生有毒有害</w:t>
            </w:r>
            <w:r>
              <w:rPr>
                <w:rFonts w:hint="default" w:ascii="Times New Roman" w:hAnsi="Times New Roman" w:cs="Times New Roman" w:eastAsiaTheme="minorEastAsia"/>
                <w:strike w:val="0"/>
                <w:dstrike w:val="0"/>
                <w:color w:val="auto"/>
                <w:highlight w:val="none"/>
                <w:lang w:val="en-US" w:eastAsia="zh-CN"/>
              </w:rPr>
              <w:t>烟尘和恶臭气体的物质。鼓励建筑装修、汽修喷涂作业、干洗等行业，使用低毒、低挥发性</w:t>
            </w:r>
            <w:r>
              <w:rPr>
                <w:rFonts w:hint="default" w:ascii="Times New Roman" w:hAnsi="Times New Roman" w:eastAsiaTheme="minorEastAsia"/>
                <w:color w:val="auto"/>
                <w:highlight w:val="none"/>
                <w:lang w:val="en-US" w:eastAsia="zh-CN"/>
              </w:rPr>
              <w:t>溶剂。</w:t>
            </w:r>
          </w:p>
          <w:p>
            <w:pPr>
              <w:pStyle w:val="27"/>
              <w:rPr>
                <w:rFonts w:hint="default" w:ascii="Times New Roman" w:hAnsi="Times New Roman" w:eastAsiaTheme="minorEastAsia"/>
                <w:color w:val="auto"/>
                <w:highlight w:val="none"/>
                <w:lang w:val="en-US" w:eastAsia="zh-CN"/>
              </w:rPr>
            </w:pPr>
            <w:r>
              <w:rPr>
                <w:rFonts w:hint="default" w:ascii="Times New Roman" w:hAnsi="Times New Roman" w:eastAsiaTheme="minorEastAsia"/>
                <w:color w:val="auto"/>
                <w:highlight w:val="none"/>
                <w:lang w:val="en-US" w:eastAsia="zh-CN"/>
              </w:rPr>
              <w:t>2</w:t>
            </w:r>
            <w:r>
              <w:rPr>
                <w:rFonts w:hint="default" w:ascii="Times New Roman" w:hAnsi="Times New Roman" w:eastAsiaTheme="minorEastAsia"/>
                <w:color w:val="auto"/>
                <w:highlight w:val="none"/>
                <w:lang w:eastAsia="zh-CN"/>
              </w:rPr>
              <w:t>．</w:t>
            </w:r>
            <w:r>
              <w:rPr>
                <w:rFonts w:hint="default" w:eastAsiaTheme="minorEastAsia"/>
                <w:color w:val="auto"/>
                <w:highlight w:val="none"/>
                <w:lang w:eastAsia="zh-CN"/>
              </w:rPr>
              <w:t>城市建成区基本</w:t>
            </w:r>
            <w:r>
              <w:rPr>
                <w:rFonts w:hint="default" w:ascii="Times New Roman" w:hAnsi="Times New Roman" w:eastAsiaTheme="minorEastAsia"/>
                <w:color w:val="auto"/>
                <w:highlight w:val="none"/>
                <w:lang w:eastAsia="zh-CN"/>
              </w:rPr>
              <w:t>消除生活污水直排口，有效杜绝污水直排水体。</w:t>
            </w:r>
          </w:p>
          <w:p>
            <w:pPr>
              <w:pStyle w:val="27"/>
              <w:keepNext w:val="0"/>
              <w:keepLines w:val="0"/>
              <w:numPr>
                <w:ilvl w:val="0"/>
                <w:numId w:val="0"/>
              </w:numPr>
              <w:suppressLineNumbers w:val="0"/>
              <w:spacing w:before="0" w:beforeAutospacing="0" w:after="0" w:afterAutospacing="0"/>
              <w:ind w:left="0" w:right="0"/>
              <w:rPr>
                <w:rFonts w:hint="default" w:ascii="Times New Roman" w:hAnsi="Times New Roman" w:cs="Times New Roman" w:eastAsiaTheme="minorEastAsia"/>
                <w:strike w:val="0"/>
                <w:dstrike w:val="0"/>
                <w:color w:val="auto"/>
                <w:highlight w:val="none"/>
                <w:lang w:val="en-US" w:eastAsia="zh-CN"/>
              </w:rPr>
            </w:pPr>
            <w:r>
              <w:rPr>
                <w:rFonts w:hint="default" w:ascii="Times New Roman" w:hAnsi="Times New Roman" w:eastAsiaTheme="minorEastAsia"/>
                <w:color w:val="auto"/>
                <w:highlight w:val="none"/>
                <w:lang w:val="en-US" w:eastAsia="zh-CN"/>
              </w:rPr>
              <w:t>3</w:t>
            </w:r>
            <w:r>
              <w:rPr>
                <w:rFonts w:hint="default" w:ascii="Times New Roman" w:hAnsi="Times New Roman" w:eastAsiaTheme="minorEastAsia"/>
                <w:color w:val="auto"/>
                <w:highlight w:val="none"/>
                <w:lang w:eastAsia="zh-CN"/>
              </w:rPr>
              <w:t>．提高污水处理能力，完善既</w:t>
            </w:r>
            <w:r>
              <w:rPr>
                <w:rFonts w:hint="default" w:ascii="Times New Roman" w:hAnsi="Times New Roman" w:cs="Times New Roman" w:eastAsiaTheme="minorEastAsia"/>
                <w:strike w:val="0"/>
                <w:dstrike w:val="0"/>
                <w:color w:val="auto"/>
                <w:highlight w:val="none"/>
                <w:lang w:eastAsia="zh-CN"/>
              </w:rPr>
              <w:t>有污水处理厂和新建、扩建污水处理厂配套管网建设，基本实现城中村、老旧城区和城乡结合部生活污水收集处理。</w:t>
            </w:r>
          </w:p>
          <w:p>
            <w:pPr>
              <w:pStyle w:val="27"/>
              <w:keepNext w:val="0"/>
              <w:keepLines w:val="0"/>
              <w:suppressLineNumbers w:val="0"/>
              <w:spacing w:before="0" w:beforeAutospacing="0" w:after="0" w:afterAutospacing="0"/>
              <w:ind w:left="0" w:right="0"/>
              <w:rPr>
                <w:rFonts w:hint="default" w:ascii="Times New Roman" w:hAnsi="Times New Roman" w:eastAsiaTheme="minorEastAsia"/>
                <w:strike w:val="0"/>
                <w:dstrike w:val="0"/>
                <w:color w:val="auto"/>
                <w:highlight w:val="none"/>
              </w:rPr>
            </w:pPr>
            <w:r>
              <w:rPr>
                <w:rFonts w:hint="default" w:ascii="Times New Roman" w:hAnsi="Times New Roman" w:cs="Times New Roman" w:eastAsiaTheme="minorEastAsia"/>
                <w:strike w:val="0"/>
                <w:dstrike w:val="0"/>
                <w:color w:val="auto"/>
                <w:highlight w:val="none"/>
                <w:lang w:val="en-US" w:eastAsia="zh-CN"/>
              </w:rPr>
              <w:t>4</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highlight w:val="none"/>
              </w:rPr>
              <w:t>矿产资源勘查以及采选过程中</w:t>
            </w:r>
            <w:r>
              <w:rPr>
                <w:rFonts w:hint="default" w:ascii="Times New Roman" w:hAnsi="Times New Roman" w:eastAsiaTheme="minorEastAsia"/>
                <w:color w:val="auto"/>
                <w:highlight w:val="none"/>
              </w:rPr>
              <w:t>排土场、露天采场、尾矿库、矿区专用道路、矿山工业场地、沉陷区、矸石场、矿山污染场地等的生态环境保护与治理恢复工作须满足</w:t>
            </w:r>
            <w:r>
              <w:rPr>
                <w:rFonts w:hint="default" w:eastAsiaTheme="minorEastAsia"/>
                <w:color w:val="auto"/>
                <w:highlight w:val="none"/>
                <w:lang w:eastAsia="zh-CN"/>
              </w:rPr>
              <w:t>《矿山生态环境保护与恢复治理技术规范（试行）》</w:t>
            </w:r>
            <w:r>
              <w:rPr>
                <w:rFonts w:hint="default" w:ascii="Times New Roman" w:hAnsi="Times New Roman" w:cs="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88" w:type="dxa"/>
            <w:vMerge w:val="restart"/>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eastAsiaTheme="minorEastAsia"/>
                <w:color w:val="auto"/>
                <w:highlight w:val="none"/>
              </w:rPr>
            </w:pPr>
            <w:r>
              <w:rPr>
                <w:rFonts w:hint="default" w:eastAsiaTheme="minorEastAsia"/>
                <w:color w:val="auto"/>
                <w:highlight w:val="none"/>
              </w:rPr>
              <w:t>ZH45022620003</w:t>
            </w:r>
          </w:p>
        </w:tc>
        <w:tc>
          <w:tcPr>
            <w:tcW w:w="192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color w:val="auto"/>
                <w:highlight w:val="none"/>
              </w:rPr>
            </w:pPr>
            <w:r>
              <w:rPr>
                <w:rFonts w:hint="default"/>
                <w:color w:val="auto"/>
                <w:highlight w:val="none"/>
              </w:rPr>
              <w:t>龙胜鸡爪-古坪滑石矿区重点管控单元</w:t>
            </w:r>
          </w:p>
        </w:tc>
        <w:tc>
          <w:tcPr>
            <w:tcW w:w="1200" w:type="dxa"/>
            <w:vMerge w:val="restart"/>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重点管控单元</w:t>
            </w:r>
          </w:p>
        </w:tc>
        <w:tc>
          <w:tcPr>
            <w:tcW w:w="1106"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eastAsiaTheme="minorEastAsia"/>
                <w:strike w:val="0"/>
                <w:dstrike w:val="0"/>
                <w:color w:val="auto"/>
                <w:highlight w:val="none"/>
              </w:rPr>
            </w:pPr>
            <w:r>
              <w:rPr>
                <w:rFonts w:hint="default" w:ascii="Times New Roman" w:hAnsi="Times New Roman"/>
                <w:strike w:val="0"/>
                <w:dstrike w:val="0"/>
                <w:color w:val="auto"/>
                <w:kern w:val="0"/>
                <w:highlight w:val="none"/>
              </w:rPr>
              <w:t>空间布局约束</w:t>
            </w:r>
          </w:p>
        </w:tc>
        <w:tc>
          <w:tcPr>
            <w:tcW w:w="8322" w:type="dxa"/>
            <w:shd w:val="clear" w:color="auto" w:fill="auto"/>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strike w:val="0"/>
                <w:dstrike w:val="0"/>
                <w:color w:val="auto"/>
                <w:szCs w:val="21"/>
                <w:highlight w:val="none"/>
              </w:rPr>
            </w:pPr>
            <w:r>
              <w:rPr>
                <w:rFonts w:hint="default" w:ascii="Times New Roman" w:hAnsi="Times New Roman" w:cs="Times New Roman"/>
                <w:strike w:val="0"/>
                <w:dstrike w:val="0"/>
                <w:color w:val="auto"/>
                <w:szCs w:val="21"/>
                <w:highlight w:val="none"/>
              </w:rPr>
              <w:t>1</w:t>
            </w:r>
            <w:r>
              <w:rPr>
                <w:rFonts w:hint="default" w:ascii="Times New Roman" w:hAnsi="Times New Roman" w:cs="Times New Roman" w:eastAsiaTheme="minorEastAsia"/>
                <w:strike w:val="0"/>
                <w:dstrike w:val="0"/>
                <w:color w:val="auto"/>
                <w:highlight w:val="none"/>
                <w:lang w:eastAsia="zh-CN"/>
              </w:rPr>
              <w:t>．</w:t>
            </w:r>
            <w:r>
              <w:rPr>
                <w:rFonts w:hint="default" w:ascii="Times New Roman" w:hAnsi="Times New Roman" w:cs="Times New Roman"/>
                <w:strike w:val="0"/>
                <w:dstrike w:val="0"/>
                <w:color w:val="auto"/>
                <w:szCs w:val="21"/>
                <w:highlight w:val="none"/>
              </w:rPr>
              <w:t>临近生态保护红线的矿产资源勘查开发，应采取有效措施，避免产生不利影响。</w:t>
            </w:r>
          </w:p>
          <w:p>
            <w:pPr>
              <w:pStyle w:val="27"/>
              <w:keepNext w:val="0"/>
              <w:keepLines w:val="0"/>
              <w:suppressLineNumbers w:val="0"/>
              <w:spacing w:before="0" w:beforeAutospacing="0" w:after="0" w:afterAutospacing="0"/>
              <w:ind w:left="0" w:leftChars="0" w:right="0" w:rightChars="0"/>
              <w:rPr>
                <w:rFonts w:hint="default" w:ascii="Times New Roman" w:hAnsi="Times New Roman" w:eastAsiaTheme="minorEastAsia"/>
                <w:strike w:val="0"/>
                <w:dstrike w:val="0"/>
                <w:color w:val="auto"/>
                <w:highlight w:val="none"/>
              </w:rPr>
            </w:pPr>
            <w:r>
              <w:rPr>
                <w:rFonts w:hint="default" w:ascii="Times New Roman" w:hAnsi="Times New Roman"/>
                <w:strike w:val="0"/>
                <w:dstrike w:val="0"/>
                <w:color w:val="auto"/>
                <w:highlight w:val="none"/>
              </w:rPr>
              <w:t>2</w:t>
            </w:r>
            <w:r>
              <w:rPr>
                <w:rFonts w:hint="default" w:eastAsiaTheme="minorEastAsia"/>
                <w:strike w:val="0"/>
                <w:dstrike w:val="0"/>
                <w:color w:val="auto"/>
                <w:highlight w:val="none"/>
                <w:lang w:eastAsia="zh-CN"/>
              </w:rPr>
              <w:t>．</w:t>
            </w:r>
            <w:r>
              <w:rPr>
                <w:rFonts w:hint="default" w:ascii="Times New Roman" w:hAnsi="Times New Roman"/>
                <w:strike w:val="0"/>
                <w:dstrike w:val="0"/>
                <w:color w:val="auto"/>
                <w:highlight w:val="none"/>
              </w:rPr>
              <w:t>实施矿山最低开采规模制度，滑石大、中、小型矿山最低开采规模为10万吨/年、8万吨/年、3万吨/年。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6" w:hRule="atLeast"/>
          <w:jc w:val="center"/>
        </w:trPr>
        <w:tc>
          <w:tcPr>
            <w:tcW w:w="1388"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eastAsiaTheme="minorEastAsia"/>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color w:val="auto"/>
                <w:highlight w:val="none"/>
              </w:rPr>
            </w:pPr>
          </w:p>
        </w:tc>
        <w:tc>
          <w:tcPr>
            <w:tcW w:w="1200"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eastAsiaTheme="minorEastAsia"/>
                <w:strike w:val="0"/>
                <w:dstrike w:val="0"/>
                <w:color w:val="auto"/>
                <w:highlight w:val="none"/>
              </w:rPr>
            </w:pPr>
          </w:p>
        </w:tc>
        <w:tc>
          <w:tcPr>
            <w:tcW w:w="1106"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eastAsiaTheme="minorEastAsia"/>
                <w:strike w:val="0"/>
                <w:dstrike w:val="0"/>
                <w:color w:val="auto"/>
                <w:highlight w:val="none"/>
              </w:rPr>
            </w:pPr>
            <w:r>
              <w:rPr>
                <w:rFonts w:hint="default" w:ascii="Times New Roman" w:hAnsi="Times New Roman"/>
                <w:strike w:val="0"/>
                <w:dstrike w:val="0"/>
                <w:color w:val="auto"/>
                <w:kern w:val="0"/>
                <w:highlight w:val="none"/>
              </w:rPr>
              <w:t>污染物排放管控</w:t>
            </w:r>
          </w:p>
        </w:tc>
        <w:tc>
          <w:tcPr>
            <w:tcW w:w="8322" w:type="dxa"/>
            <w:shd w:val="clear" w:color="auto" w:fill="auto"/>
            <w:vAlign w:val="center"/>
          </w:tcPr>
          <w:p>
            <w:pPr>
              <w:pStyle w:val="27"/>
              <w:keepNext w:val="0"/>
              <w:keepLines w:val="0"/>
              <w:suppressLineNumbers w:val="0"/>
              <w:spacing w:before="0" w:beforeAutospacing="0" w:after="0" w:afterAutospacing="0"/>
              <w:ind w:left="0" w:leftChars="0" w:right="0" w:rightChars="0"/>
              <w:rPr>
                <w:rFonts w:hint="default" w:ascii="Times New Roman" w:hAnsi="Times New Roman" w:eastAsiaTheme="minorEastAsia"/>
                <w:strike w:val="0"/>
                <w:dstrike w:val="0"/>
                <w:color w:val="auto"/>
                <w:highlight w:val="none"/>
              </w:rPr>
            </w:pPr>
            <w:r>
              <w:rPr>
                <w:rFonts w:hint="default" w:ascii="Times New Roman" w:hAnsi="Times New Roman"/>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strike w:val="0"/>
                <w:dstrike w:val="0"/>
                <w:color w:val="auto"/>
                <w:highlight w:val="none"/>
                <w:lang w:eastAsia="zh-CN"/>
              </w:rPr>
              <w:t>《矿山生态环境保护与恢复治理技术规范（试行）》</w:t>
            </w:r>
            <w:r>
              <w:rPr>
                <w:rFonts w:hint="default" w:ascii="Times New Roman" w:hAnsi="Times New Roman"/>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88"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eastAsiaTheme="minorEastAsia"/>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color w:val="auto"/>
                <w:highlight w:val="none"/>
              </w:rPr>
            </w:pPr>
          </w:p>
        </w:tc>
        <w:tc>
          <w:tcPr>
            <w:tcW w:w="1200"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eastAsiaTheme="minorEastAsia"/>
                <w:strike w:val="0"/>
                <w:dstrike w:val="0"/>
                <w:color w:val="auto"/>
                <w:highlight w:val="none"/>
              </w:rPr>
            </w:pPr>
          </w:p>
        </w:tc>
        <w:tc>
          <w:tcPr>
            <w:tcW w:w="1106" w:type="dxa"/>
            <w:shd w:val="clear" w:color="auto" w:fill="auto"/>
            <w:vAlign w:val="center"/>
          </w:tcPr>
          <w:p>
            <w:pPr>
              <w:pStyle w:val="27"/>
              <w:jc w:val="center"/>
              <w:rPr>
                <w:rFonts w:hint="default" w:ascii="Times New Roman" w:hAnsi="Times New Roman"/>
                <w:strike w:val="0"/>
                <w:dstrike w:val="0"/>
                <w:color w:val="auto"/>
                <w:kern w:val="0"/>
                <w:highlight w:val="none"/>
              </w:rPr>
            </w:pPr>
            <w:r>
              <w:rPr>
                <w:color w:val="auto"/>
                <w:kern w:val="0"/>
                <w:highlight w:val="none"/>
              </w:rPr>
              <w:t>环境风险防控</w:t>
            </w:r>
          </w:p>
        </w:tc>
        <w:tc>
          <w:tcPr>
            <w:tcW w:w="8322" w:type="dxa"/>
            <w:shd w:val="clear" w:color="auto" w:fill="auto"/>
            <w:vAlign w:val="center"/>
          </w:tcPr>
          <w:p>
            <w:pPr>
              <w:pStyle w:val="27"/>
              <w:rPr>
                <w:rFonts w:hint="default" w:ascii="Times New Roman" w:hAnsi="Times New Roman"/>
                <w:strike w:val="0"/>
                <w:dstrike w:val="0"/>
                <w:color w:val="auto"/>
                <w:highlight w:val="none"/>
              </w:rPr>
            </w:pPr>
            <w:r>
              <w:rPr>
                <w:color w:val="auto"/>
                <w:highlight w:val="none"/>
              </w:rPr>
              <w:t>开展环境风险评估，制定突发环境事件应急预案并备案，配备应急能力和物资，建设环境应急队伍，并定期演练。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atLeast"/>
          <w:jc w:val="center"/>
        </w:trPr>
        <w:tc>
          <w:tcPr>
            <w:tcW w:w="1388"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eastAsiaTheme="minorEastAsia"/>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color w:val="auto"/>
                <w:highlight w:val="none"/>
              </w:rPr>
            </w:pPr>
          </w:p>
        </w:tc>
        <w:tc>
          <w:tcPr>
            <w:tcW w:w="1200" w:type="dxa"/>
            <w:vMerge w:val="continue"/>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eastAsiaTheme="minorEastAsia"/>
                <w:strike w:val="0"/>
                <w:dstrike w:val="0"/>
                <w:color w:val="auto"/>
                <w:highlight w:val="none"/>
              </w:rPr>
            </w:pPr>
          </w:p>
        </w:tc>
        <w:tc>
          <w:tcPr>
            <w:tcW w:w="1106" w:type="dxa"/>
            <w:shd w:val="clear" w:color="auto" w:fill="auto"/>
            <w:vAlign w:val="center"/>
          </w:tcPr>
          <w:p>
            <w:pPr>
              <w:pStyle w:val="27"/>
              <w:keepNext w:val="0"/>
              <w:keepLines w:val="0"/>
              <w:suppressLineNumbers w:val="0"/>
              <w:spacing w:before="0" w:beforeAutospacing="0" w:after="0" w:afterAutospacing="0"/>
              <w:ind w:left="0" w:leftChars="0" w:right="0" w:rightChars="0"/>
              <w:jc w:val="center"/>
              <w:rPr>
                <w:rFonts w:hint="default" w:ascii="Times New Roman" w:hAnsi="Times New Roman" w:eastAsiaTheme="minorEastAsia"/>
                <w:strike w:val="0"/>
                <w:dstrike w:val="0"/>
                <w:color w:val="auto"/>
                <w:highlight w:val="none"/>
              </w:rPr>
            </w:pPr>
            <w:r>
              <w:rPr>
                <w:rFonts w:hint="default" w:eastAsiaTheme="minorEastAsia"/>
                <w:strike w:val="0"/>
                <w:dstrike w:val="0"/>
                <w:color w:val="auto"/>
                <w:kern w:val="0"/>
                <w:highlight w:val="none"/>
                <w:lang w:eastAsia="zh-CN"/>
              </w:rPr>
              <w:t>资源开发利用效率要求</w:t>
            </w:r>
          </w:p>
        </w:tc>
        <w:tc>
          <w:tcPr>
            <w:tcW w:w="8322" w:type="dxa"/>
            <w:shd w:val="clear" w:color="auto" w:fill="auto"/>
            <w:vAlign w:val="center"/>
          </w:tcPr>
          <w:p>
            <w:pPr>
              <w:pStyle w:val="27"/>
              <w:keepNext w:val="0"/>
              <w:keepLines w:val="0"/>
              <w:suppressLineNumbers w:val="0"/>
              <w:adjustRightInd w:val="0"/>
              <w:snapToGrid w:val="0"/>
              <w:spacing w:before="0" w:beforeAutospacing="0" w:after="0" w:afterAutospacing="0"/>
              <w:ind w:left="0" w:right="0"/>
              <w:rPr>
                <w:rFonts w:hint="default" w:ascii="Times New Roman" w:hAnsi="Times New Roman" w:cs="Times New Roman" w:eastAsiaTheme="minorEastAsia"/>
                <w:strike w:val="0"/>
                <w:dstrike w:val="0"/>
                <w:color w:val="auto"/>
                <w:szCs w:val="21"/>
                <w:highlight w:val="none"/>
              </w:rPr>
            </w:pPr>
            <w:r>
              <w:rPr>
                <w:rFonts w:hint="default" w:ascii="Times New Roman" w:hAnsi="Times New Roman" w:cs="Times New Roman" w:eastAsiaTheme="minorEastAsia"/>
                <w:strike w:val="0"/>
                <w:dstrike w:val="0"/>
                <w:color w:val="auto"/>
                <w:szCs w:val="21"/>
                <w:highlight w:val="none"/>
              </w:rPr>
              <w:t>1</w:t>
            </w:r>
            <w:r>
              <w:rPr>
                <w:rFonts w:hint="default" w:eastAsiaTheme="minorEastAsia"/>
                <w:strike w:val="0"/>
                <w:dstrike w:val="0"/>
                <w:color w:val="auto"/>
                <w:highlight w:val="none"/>
                <w:lang w:eastAsia="zh-CN"/>
              </w:rPr>
              <w:t>．</w:t>
            </w:r>
            <w:r>
              <w:rPr>
                <w:rFonts w:hint="default" w:ascii="Times New Roman" w:hAnsi="Times New Roman" w:cs="Times New Roman" w:eastAsiaTheme="minorEastAsia"/>
                <w:strike w:val="0"/>
                <w:dstrike w:val="0"/>
                <w:color w:val="auto"/>
                <w:szCs w:val="21"/>
                <w:highlight w:val="none"/>
              </w:rPr>
              <w:t>废石、尾矿等固体废弃物处置率达到100%，矿山选矿废水重复利用率不低于85%。</w:t>
            </w:r>
          </w:p>
          <w:p>
            <w:pPr>
              <w:pStyle w:val="27"/>
              <w:keepNext w:val="0"/>
              <w:keepLines w:val="0"/>
              <w:suppressLineNumbers w:val="0"/>
              <w:spacing w:before="0" w:beforeAutospacing="0" w:after="0" w:afterAutospacing="0"/>
              <w:ind w:left="0" w:leftChars="0" w:right="0" w:rightChars="0"/>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2</w:t>
            </w:r>
            <w:r>
              <w:rPr>
                <w:rFonts w:hint="default" w:eastAsiaTheme="minorEastAsia"/>
                <w:strike w:val="0"/>
                <w:dstrike w:val="0"/>
                <w:color w:val="auto"/>
                <w:highlight w:val="none"/>
                <w:lang w:eastAsia="zh-CN"/>
              </w:rPr>
              <w:t>．</w:t>
            </w:r>
            <w:r>
              <w:rPr>
                <w:rFonts w:hint="default" w:ascii="Times New Roman" w:hAnsi="Times New Roman" w:eastAsiaTheme="minorEastAsia"/>
                <w:strike w:val="0"/>
                <w:dstrike w:val="0"/>
                <w:color w:val="auto"/>
                <w:highlight w:val="none"/>
              </w:rPr>
              <w:t>矿山开采回采率、选矿回收率和综合利用率等三项指标应符合自然资源部发布的相关矿种矿产资源合理开发利用“三率”最低指标要求（试行）。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388"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eastAsiaTheme="minorEastAsia"/>
                <w:color w:val="auto"/>
                <w:highlight w:val="none"/>
              </w:rPr>
              <w:t>ZH45022620004</w:t>
            </w:r>
          </w:p>
        </w:tc>
        <w:tc>
          <w:tcPr>
            <w:tcW w:w="1920" w:type="dxa"/>
            <w:vMerge w:val="restart"/>
            <w:shd w:val="clear" w:color="auto" w:fill="auto"/>
            <w:vAlign w:val="center"/>
          </w:tcPr>
          <w:p>
            <w:pPr>
              <w:pStyle w:val="27"/>
              <w:keepNext w:val="0"/>
              <w:keepLines w:val="0"/>
              <w:suppressLineNumbers w:val="0"/>
              <w:spacing w:before="0" w:beforeAutospacing="0" w:after="0" w:afterAutospacing="0"/>
              <w:ind w:left="0" w:right="0"/>
              <w:jc w:val="both"/>
              <w:rPr>
                <w:rFonts w:hint="default"/>
                <w:color w:val="auto"/>
                <w:highlight w:val="none"/>
                <w:lang w:eastAsia="zh-CN"/>
              </w:rPr>
            </w:pPr>
            <w:r>
              <w:rPr>
                <w:rFonts w:hint="default"/>
                <w:color w:val="auto"/>
                <w:highlight w:val="none"/>
              </w:rPr>
              <w:t>三江侗族自治县其他重点管控单元</w:t>
            </w:r>
          </w:p>
        </w:tc>
        <w:tc>
          <w:tcPr>
            <w:tcW w:w="1200" w:type="dxa"/>
            <w:vMerge w:val="restart"/>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重点管控单元</w:t>
            </w:r>
          </w:p>
        </w:tc>
        <w:tc>
          <w:tcPr>
            <w:tcW w:w="110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空间布局约束</w:t>
            </w:r>
          </w:p>
        </w:tc>
        <w:tc>
          <w:tcPr>
            <w:tcW w:w="8322"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eastAsiaTheme="minorEastAsia"/>
                <w:strike w:val="0"/>
                <w:dstrike w:val="0"/>
                <w:color w:val="auto"/>
                <w:highlight w:val="none"/>
              </w:rPr>
            </w:pPr>
            <w:r>
              <w:rPr>
                <w:rFonts w:hint="default" w:eastAsiaTheme="minorEastAsia"/>
                <w:strike w:val="0"/>
                <w:dstrike w:val="0"/>
                <w:color w:val="auto"/>
                <w:highlight w:val="none"/>
                <w:lang w:val="en-US" w:eastAsia="zh-CN"/>
              </w:rPr>
              <w:t>1</w:t>
            </w:r>
            <w:r>
              <w:rPr>
                <w:rFonts w:hint="default" w:eastAsiaTheme="minorEastAsia"/>
                <w:strike w:val="0"/>
                <w:dstrike w:val="0"/>
                <w:color w:val="auto"/>
                <w:highlight w:val="none"/>
                <w:lang w:eastAsia="zh-CN"/>
              </w:rPr>
              <w:t>．</w:t>
            </w:r>
            <w:r>
              <w:rPr>
                <w:rFonts w:hint="default" w:ascii="Times New Roman" w:hAnsi="Times New Roman" w:eastAsiaTheme="minorEastAsia"/>
                <w:strike w:val="0"/>
                <w:dstrike w:val="0"/>
                <w:color w:val="auto"/>
                <w:highlight w:val="none"/>
              </w:rPr>
              <w:t>居住用地周边严控布局潜在污染扰民和环境风险突出的建设项目。</w:t>
            </w:r>
            <w:r>
              <w:rPr>
                <w:rFonts w:hint="default" w:ascii="Times New Roman" w:hAnsi="Times New Roman" w:eastAsiaTheme="minorEastAsia"/>
                <w:b w:val="0"/>
                <w:strike w:val="0"/>
                <w:dstrike w:val="0"/>
                <w:color w:val="auto"/>
                <w:highlight w:val="none"/>
              </w:rPr>
              <w:t>禁止</w:t>
            </w:r>
            <w:r>
              <w:rPr>
                <w:rFonts w:hint="default" w:ascii="Times New Roman" w:hAnsi="Times New Roman" w:eastAsiaTheme="minorEastAsia"/>
                <w:strike w:val="0"/>
                <w:dstrike w:val="0"/>
                <w:color w:val="auto"/>
                <w:highlight w:val="none"/>
              </w:rPr>
              <w:t>在居民区和学校、医院、疗养院、养老院等单位周边新建、改建、扩建可能造成土壤污染的建设项目。</w:t>
            </w:r>
            <w:r>
              <w:rPr>
                <w:rFonts w:hint="default" w:ascii="Times New Roman" w:hAnsi="Times New Roman" w:eastAsiaTheme="minorEastAsia"/>
                <w:b w:val="0"/>
                <w:strike w:val="0"/>
                <w:dstrike w:val="0"/>
                <w:color w:val="auto"/>
                <w:highlight w:val="none"/>
              </w:rPr>
              <w:t>禁止</w:t>
            </w:r>
            <w:r>
              <w:rPr>
                <w:rFonts w:hint="default" w:ascii="Times New Roman" w:hAnsi="Times New Roman" w:eastAsiaTheme="minorEastAsia"/>
                <w:strike w:val="0"/>
                <w:dstrike w:val="0"/>
                <w:color w:val="auto"/>
                <w:highlight w:val="none"/>
              </w:rPr>
              <w:t>在人口聚居区域内新（改、扩）建涉重金属企业。</w:t>
            </w:r>
          </w:p>
          <w:p>
            <w:pPr>
              <w:pStyle w:val="27"/>
              <w:keepNext w:val="0"/>
              <w:keepLines w:val="0"/>
              <w:suppressLineNumbers w:val="0"/>
              <w:spacing w:before="0" w:beforeAutospacing="0" w:after="0" w:afterAutospacing="0"/>
              <w:ind w:left="0" w:right="0"/>
              <w:rPr>
                <w:rFonts w:hint="default" w:ascii="Times New Roman" w:hAnsi="Times New Roman" w:eastAsiaTheme="minorEastAsia"/>
                <w:strike w:val="0"/>
                <w:dstrike w:val="0"/>
                <w:color w:val="auto"/>
                <w:highlight w:val="none"/>
              </w:rPr>
            </w:pPr>
            <w:r>
              <w:rPr>
                <w:rFonts w:hint="default" w:eastAsiaTheme="minorEastAsia"/>
                <w:strike w:val="0"/>
                <w:dstrike w:val="0"/>
                <w:color w:val="auto"/>
                <w:highlight w:val="none"/>
                <w:lang w:val="en-US" w:eastAsia="zh-CN"/>
              </w:rPr>
              <w:t>2</w:t>
            </w:r>
            <w:r>
              <w:rPr>
                <w:rFonts w:hint="default" w:eastAsiaTheme="minorEastAsia"/>
                <w:strike w:val="0"/>
                <w:dstrike w:val="0"/>
                <w:color w:val="auto"/>
                <w:highlight w:val="none"/>
                <w:lang w:eastAsia="zh-CN"/>
              </w:rPr>
              <w:t>．</w:t>
            </w:r>
            <w:r>
              <w:rPr>
                <w:rFonts w:hint="default" w:ascii="Times New Roman" w:hAnsi="Times New Roman" w:eastAsiaTheme="minorEastAsia"/>
                <w:strike w:val="0"/>
                <w:dstrike w:val="0"/>
                <w:color w:val="auto"/>
                <w:highlight w:val="none"/>
              </w:rPr>
              <w:t>临近生态保护红线的工业企业</w:t>
            </w:r>
            <w:r>
              <w:rPr>
                <w:rFonts w:hint="default" w:eastAsiaTheme="minorEastAsia"/>
                <w:strike w:val="0"/>
                <w:dstrike w:val="0"/>
                <w:color w:val="auto"/>
                <w:highlight w:val="none"/>
                <w:lang w:eastAsia="zh-CN"/>
              </w:rPr>
              <w:t>和</w:t>
            </w:r>
            <w:r>
              <w:rPr>
                <w:rFonts w:ascii="Times New Roman" w:hAnsi="Times New Roman" w:cs="Times New Roman" w:eastAsiaTheme="minorEastAsia"/>
                <w:color w:val="auto"/>
                <w:sz w:val="21"/>
                <w:szCs w:val="21"/>
                <w:highlight w:val="none"/>
              </w:rPr>
              <w:t>矿产资源勘查开发</w:t>
            </w:r>
            <w:r>
              <w:rPr>
                <w:rFonts w:hint="default" w:ascii="Times New Roman" w:hAnsi="Times New Roman" w:eastAsiaTheme="minorEastAsia"/>
                <w:strike w:val="0"/>
                <w:dstrike w:val="0"/>
                <w:color w:val="auto"/>
                <w:highlight w:val="none"/>
              </w:rPr>
              <w:t>，应采取有效措施，避免产生不利影响。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6" w:hRule="atLeast"/>
          <w:jc w:val="center"/>
        </w:trPr>
        <w:tc>
          <w:tcPr>
            <w:tcW w:w="1388"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p>
        </w:tc>
        <w:tc>
          <w:tcPr>
            <w:tcW w:w="1920" w:type="dxa"/>
            <w:vMerge w:val="continue"/>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eastAsiaTheme="minorEastAsia"/>
                <w:strike w:val="0"/>
                <w:dstrike w:val="0"/>
                <w:color w:val="auto"/>
                <w:highlight w:val="none"/>
              </w:rPr>
            </w:pPr>
          </w:p>
        </w:tc>
        <w:tc>
          <w:tcPr>
            <w:tcW w:w="1200" w:type="dxa"/>
            <w:vMerge w:val="continue"/>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p>
        </w:tc>
        <w:tc>
          <w:tcPr>
            <w:tcW w:w="110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污染物排放管控</w:t>
            </w:r>
          </w:p>
        </w:tc>
        <w:tc>
          <w:tcPr>
            <w:tcW w:w="8322"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矿产资源勘查以及采选过程中排土场、露天采场、尾矿库、矿区专用道路、矿山工业场地、沉陷区、矸石场、矿山污染场地等的生态环境保护与治理恢复工作须满足</w:t>
            </w:r>
            <w:r>
              <w:rPr>
                <w:rFonts w:hint="default" w:eastAsiaTheme="minorEastAsia"/>
                <w:strike w:val="0"/>
                <w:dstrike w:val="0"/>
                <w:color w:val="auto"/>
                <w:highlight w:val="none"/>
                <w:lang w:eastAsia="zh-CN"/>
              </w:rPr>
              <w:t>《矿山生态环境保护与恢复治理技术规范（试行）》</w:t>
            </w:r>
            <w:r>
              <w:rPr>
                <w:rFonts w:hint="default" w:ascii="Times New Roman" w:hAnsi="Times New Roman" w:eastAsiaTheme="minorEastAsia"/>
                <w:strike w:val="0"/>
                <w:dstrike w:val="0"/>
                <w:color w:val="auto"/>
                <w:highlight w:val="none"/>
              </w:rPr>
              <w:t>（HJ651-2013）要求。落实边开采、边保护、边复垦的要求，使新建、在建矿山损毁土地得到全面复垦。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3" w:hRule="atLeast"/>
          <w:jc w:val="center"/>
        </w:trPr>
        <w:tc>
          <w:tcPr>
            <w:tcW w:w="1388"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eastAsiaTheme="minorEastAsia"/>
                <w:color w:val="auto"/>
                <w:highlight w:val="none"/>
              </w:rPr>
              <w:t>ZH45022630001</w:t>
            </w:r>
          </w:p>
        </w:tc>
        <w:tc>
          <w:tcPr>
            <w:tcW w:w="1920" w:type="dxa"/>
            <w:shd w:val="clear" w:color="auto" w:fill="auto"/>
            <w:vAlign w:val="center"/>
          </w:tcPr>
          <w:p>
            <w:pPr>
              <w:pStyle w:val="27"/>
              <w:keepNext w:val="0"/>
              <w:keepLines w:val="0"/>
              <w:suppressLineNumbers w:val="0"/>
              <w:spacing w:before="0" w:beforeAutospacing="0" w:after="0" w:afterAutospacing="0"/>
              <w:ind w:left="0" w:right="0"/>
              <w:jc w:val="both"/>
              <w:rPr>
                <w:rFonts w:hint="default" w:ascii="Times New Roman" w:hAnsi="Times New Roman" w:eastAsiaTheme="minorEastAsia"/>
                <w:strike w:val="0"/>
                <w:dstrike w:val="0"/>
                <w:color w:val="auto"/>
                <w:highlight w:val="none"/>
              </w:rPr>
            </w:pPr>
            <w:r>
              <w:rPr>
                <w:rFonts w:hint="default"/>
                <w:color w:val="auto"/>
                <w:highlight w:val="none"/>
              </w:rPr>
              <w:t>三江侗族自治县一般管控单元</w:t>
            </w:r>
          </w:p>
        </w:tc>
        <w:tc>
          <w:tcPr>
            <w:tcW w:w="1200"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一般管控单元</w:t>
            </w:r>
          </w:p>
        </w:tc>
        <w:tc>
          <w:tcPr>
            <w:tcW w:w="1106" w:type="dxa"/>
            <w:shd w:val="clear" w:color="auto" w:fill="auto"/>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eastAsiaTheme="minorEastAsia"/>
                <w:strike w:val="0"/>
                <w:dstrike w:val="0"/>
                <w:color w:val="auto"/>
                <w:highlight w:val="none"/>
              </w:rPr>
            </w:pPr>
            <w:r>
              <w:rPr>
                <w:rFonts w:hint="default" w:ascii="Times New Roman" w:hAnsi="Times New Roman" w:eastAsiaTheme="minorEastAsia"/>
                <w:strike w:val="0"/>
                <w:dstrike w:val="0"/>
                <w:color w:val="auto"/>
                <w:highlight w:val="none"/>
              </w:rPr>
              <w:t>空间布局约束</w:t>
            </w:r>
          </w:p>
        </w:tc>
        <w:tc>
          <w:tcPr>
            <w:tcW w:w="8322" w:type="dxa"/>
            <w:shd w:val="clear" w:color="auto" w:fill="auto"/>
            <w:vAlign w:val="center"/>
          </w:tcPr>
          <w:p>
            <w:pPr>
              <w:pStyle w:val="27"/>
              <w:keepNext w:val="0"/>
              <w:keepLines w:val="0"/>
              <w:suppressLineNumbers w:val="0"/>
              <w:spacing w:before="0" w:beforeAutospacing="0" w:after="0" w:afterAutospacing="0"/>
              <w:ind w:left="0" w:right="0"/>
              <w:rPr>
                <w:rFonts w:hint="default" w:ascii="Times New Roman" w:hAnsi="Times New Roman" w:eastAsiaTheme="minorEastAsia"/>
                <w:strike w:val="0"/>
                <w:dstrike w:val="0"/>
                <w:color w:val="auto"/>
                <w:highlight w:val="none"/>
              </w:rPr>
            </w:pPr>
            <w:r>
              <w:rPr>
                <w:rFonts w:hint="default" w:eastAsiaTheme="minorEastAsia"/>
                <w:strike w:val="0"/>
                <w:dstrike w:val="0"/>
                <w:color w:val="auto"/>
                <w:highlight w:val="none"/>
                <w:lang w:val="en-US" w:eastAsia="zh-CN"/>
              </w:rPr>
              <w:t>1</w:t>
            </w:r>
            <w:r>
              <w:rPr>
                <w:rFonts w:hint="default" w:eastAsiaTheme="minorEastAsia"/>
                <w:strike w:val="0"/>
                <w:dstrike w:val="0"/>
                <w:color w:val="auto"/>
                <w:highlight w:val="none"/>
                <w:lang w:eastAsia="zh-CN"/>
              </w:rPr>
              <w:t>．</w:t>
            </w:r>
            <w:r>
              <w:rPr>
                <w:rFonts w:hint="default" w:ascii="Times New Roman" w:hAnsi="Times New Roman" w:eastAsiaTheme="minorEastAsia"/>
                <w:strike w:val="0"/>
                <w:dstrike w:val="0"/>
                <w:color w:val="auto"/>
                <w:highlight w:val="none"/>
              </w:rPr>
              <w:t>永久基本农田一经划定，任何单位和个人不得擅自占用或改变用途。禁止任何单位和个人破坏永久基本农田耕作层。对永久基本农田实行严格保护，确保其面积不减少、土壤环境质量不下降，除法律规定的重点建设项目选址确实无法避让外，其他任何建设不得占用。</w:t>
            </w:r>
          </w:p>
          <w:p>
            <w:pPr>
              <w:pStyle w:val="27"/>
              <w:keepNext w:val="0"/>
              <w:keepLines w:val="0"/>
              <w:suppressLineNumbers w:val="0"/>
              <w:spacing w:before="0" w:beforeAutospacing="0" w:after="0" w:afterAutospacing="0"/>
              <w:ind w:left="0" w:right="0"/>
              <w:rPr>
                <w:rFonts w:hint="default" w:ascii="Times New Roman" w:hAnsi="Times New Roman" w:eastAsiaTheme="minorEastAsia"/>
                <w:strike w:val="0"/>
                <w:dstrike w:val="0"/>
                <w:color w:val="auto"/>
                <w:highlight w:val="none"/>
              </w:rPr>
            </w:pPr>
            <w:r>
              <w:rPr>
                <w:rFonts w:hint="default" w:eastAsiaTheme="minorEastAsia"/>
                <w:strike w:val="0"/>
                <w:dstrike w:val="0"/>
                <w:color w:val="auto"/>
                <w:highlight w:val="none"/>
                <w:lang w:val="en-US" w:eastAsia="zh-CN"/>
              </w:rPr>
              <w:t>2</w:t>
            </w:r>
            <w:r>
              <w:rPr>
                <w:rFonts w:hint="default" w:eastAsiaTheme="minorEastAsia"/>
                <w:strike w:val="0"/>
                <w:dstrike w:val="0"/>
                <w:color w:val="auto"/>
                <w:highlight w:val="none"/>
                <w:lang w:eastAsia="zh-CN"/>
              </w:rPr>
              <w:t>．</w:t>
            </w:r>
            <w:r>
              <w:rPr>
                <w:rFonts w:hint="default" w:ascii="Times New Roman" w:hAnsi="Times New Roman" w:eastAsiaTheme="minorEastAsia"/>
                <w:strike w:val="0"/>
                <w:dstrike w:val="0"/>
                <w:color w:val="auto"/>
                <w:highlight w:val="none"/>
              </w:rPr>
              <w:t>在永久基本农田集中区域，不得新建可能造成土壤污染的建设项目；已经建成的，应当限期关闭拆除。</w:t>
            </w:r>
          </w:p>
          <w:p>
            <w:pPr>
              <w:pStyle w:val="27"/>
              <w:keepNext w:val="0"/>
              <w:keepLines w:val="0"/>
              <w:suppressLineNumbers w:val="0"/>
              <w:spacing w:before="0" w:beforeAutospacing="0" w:after="0" w:afterAutospacing="0"/>
              <w:ind w:left="0" w:right="0"/>
              <w:rPr>
                <w:rFonts w:hint="default" w:ascii="Times New Roman" w:hAnsi="Times New Roman" w:eastAsiaTheme="minorEastAsia"/>
                <w:strike w:val="0"/>
                <w:dstrike w:val="0"/>
                <w:color w:val="auto"/>
                <w:highlight w:val="none"/>
              </w:rPr>
            </w:pPr>
            <w:r>
              <w:rPr>
                <w:rFonts w:hint="default" w:eastAsiaTheme="minorEastAsia"/>
                <w:strike w:val="0"/>
                <w:dstrike w:val="0"/>
                <w:color w:val="auto"/>
                <w:highlight w:val="none"/>
                <w:lang w:val="en-US" w:eastAsia="zh-CN"/>
              </w:rPr>
              <w:t>3</w:t>
            </w:r>
            <w:r>
              <w:rPr>
                <w:rFonts w:hint="default" w:eastAsiaTheme="minorEastAsia"/>
                <w:strike w:val="0"/>
                <w:dstrike w:val="0"/>
                <w:color w:val="auto"/>
                <w:highlight w:val="none"/>
                <w:lang w:eastAsia="zh-CN"/>
              </w:rPr>
              <w:t>．</w:t>
            </w:r>
            <w:r>
              <w:rPr>
                <w:rFonts w:hint="default" w:ascii="Times New Roman" w:hAnsi="Times New Roman" w:eastAsiaTheme="minorEastAsia"/>
                <w:strike w:val="0"/>
                <w:dstrike w:val="0"/>
                <w:color w:val="auto"/>
                <w:highlight w:val="none"/>
              </w:rPr>
              <w:t>禁止将重金属或者其他有毒有害物质含量超标的工业固体废物、生活垃圾或者污染土壤用于土地复垦。</w:t>
            </w:r>
          </w:p>
        </w:tc>
      </w:tr>
    </w:tbl>
    <w:p>
      <w:pPr>
        <w:rPr>
          <w:color w:val="auto"/>
          <w:highlight w:val="none"/>
        </w:rPr>
      </w:pPr>
    </w:p>
    <w:sectPr>
      <w:footerReference r:id="rId11" w:type="default"/>
      <w:pgSz w:w="16838" w:h="11905" w:orient="landscape"/>
      <w:pgMar w:top="1797" w:right="1440" w:bottom="1797" w:left="1440" w:header="851" w:footer="992" w:gutter="0"/>
      <w:pgNumType w:start="1"/>
      <w:cols w:space="0"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FGK" w:date="2021-11-02T08:52:28Z" w:initials="F">
    <w:p w14:paraId="1A1B1D68">
      <w:pPr>
        <w:pStyle w:val="7"/>
        <w:rPr>
          <w:rFonts w:hint="eastAsia" w:eastAsiaTheme="minorEastAsia"/>
          <w:lang w:val="en-US" w:eastAsia="zh-CN"/>
        </w:rPr>
      </w:pPr>
      <w:r>
        <w:rPr>
          <w:rFonts w:hint="eastAsia"/>
          <w:lang w:val="en-US" w:eastAsia="zh-CN"/>
        </w:rPr>
        <w:t>非优先保护单元，删除</w:t>
      </w:r>
    </w:p>
  </w:comment>
  <w:comment w:id="1" w:author="FGK" w:date="2021-11-11T08:51:09Z" w:initials="F">
    <w:p w14:paraId="181E7061">
      <w:pPr>
        <w:pStyle w:val="7"/>
        <w:rPr>
          <w:rFonts w:hint="eastAsia" w:eastAsiaTheme="minorEastAsia"/>
          <w:lang w:val="en-US" w:eastAsia="zh-CN"/>
        </w:rPr>
      </w:pPr>
      <w:r>
        <w:rPr>
          <w:rFonts w:hint="eastAsia"/>
          <w:lang w:val="en-US" w:eastAsia="zh-CN"/>
        </w:rPr>
        <w:t>无资源开发利用效率要求</w:t>
      </w:r>
    </w:p>
  </w:comment>
  <w:comment w:id="2" w:author="FGK" w:date="2021-11-11T09:21:14Z" w:initials="F">
    <w:p w14:paraId="3D773228">
      <w:pPr>
        <w:pStyle w:val="7"/>
        <w:rPr>
          <w:rFonts w:hint="eastAsia" w:eastAsiaTheme="minorEastAsia"/>
          <w:lang w:eastAsia="zh-CN"/>
        </w:rPr>
      </w:pPr>
      <w:r>
        <w:rPr>
          <w:rFonts w:hint="eastAsia"/>
          <w:lang w:eastAsia="zh-CN"/>
        </w:rPr>
        <w:t>无</w:t>
      </w:r>
      <w:r>
        <w:rPr>
          <w:rFonts w:hint="default" w:cs="Times New Roman" w:eastAsiaTheme="minorEastAsia"/>
          <w:strike w:val="0"/>
          <w:dstrike w:val="0"/>
          <w:color w:val="auto"/>
          <w:highlight w:val="none"/>
          <w:lang w:eastAsia="zh-CN"/>
        </w:rPr>
        <w:t>资源开发利用效率要求</w:t>
      </w:r>
    </w:p>
  </w:comment>
  <w:comment w:id="3" w:author="FGK" w:date="2021-11-11T09:33:43Z" w:initials="F">
    <w:p w14:paraId="3B1E27B7">
      <w:pPr>
        <w:pStyle w:val="7"/>
      </w:pPr>
      <w:r>
        <w:rPr>
          <w:rFonts w:hint="eastAsia" w:cs="Times New Roman"/>
          <w:strike w:val="0"/>
          <w:dstrike w:val="0"/>
          <w:color w:val="auto"/>
          <w:highlight w:val="none"/>
          <w:lang w:eastAsia="zh-CN"/>
        </w:rPr>
        <w:t>无</w:t>
      </w:r>
      <w:r>
        <w:rPr>
          <w:rFonts w:hint="default" w:cs="Times New Roman" w:eastAsiaTheme="minorEastAsia"/>
          <w:strike w:val="0"/>
          <w:dstrike w:val="0"/>
          <w:color w:val="auto"/>
          <w:highlight w:val="none"/>
          <w:lang w:eastAsia="zh-CN"/>
        </w:rPr>
        <w:t>资源开发利用效率要求</w:t>
      </w:r>
    </w:p>
  </w:comment>
  <w:comment w:id="4" w:author="FGK" w:date="2021-11-11T09:39:13Z" w:initials="F">
    <w:p w14:paraId="604B6664">
      <w:pPr>
        <w:pStyle w:val="7"/>
        <w:rPr>
          <w:rFonts w:hint="eastAsia" w:eastAsiaTheme="minorEastAsia"/>
          <w:lang w:eastAsia="zh-CN"/>
        </w:rPr>
      </w:pPr>
      <w:r>
        <w:rPr>
          <w:rFonts w:hint="eastAsia"/>
          <w:lang w:eastAsia="zh-CN"/>
        </w:rPr>
        <w:t>无环境风险防控、资源开发利用效率要求</w:t>
      </w:r>
    </w:p>
  </w:comment>
  <w:comment w:id="5" w:author="FGK" w:date="2021-11-11T09:40:43Z" w:initials="F">
    <w:p w14:paraId="5FFA3AE0">
      <w:pPr>
        <w:pStyle w:val="7"/>
      </w:pPr>
      <w:r>
        <w:rPr>
          <w:rFonts w:hint="eastAsia" w:cs="Times New Roman"/>
          <w:strike w:val="0"/>
          <w:dstrike w:val="0"/>
          <w:color w:val="auto"/>
          <w:highlight w:val="none"/>
          <w:lang w:eastAsia="zh-CN"/>
        </w:rPr>
        <w:t>无</w:t>
      </w:r>
      <w:r>
        <w:rPr>
          <w:rFonts w:hint="default" w:cs="Times New Roman" w:eastAsiaTheme="minorEastAsia"/>
          <w:strike w:val="0"/>
          <w:dstrike w:val="0"/>
          <w:color w:val="auto"/>
          <w:highlight w:val="none"/>
          <w:lang w:eastAsia="zh-CN"/>
        </w:rPr>
        <w:t>资源开发利用效率要求</w:t>
      </w:r>
    </w:p>
  </w:comment>
  <w:comment w:id="6" w:author="FGK" w:date="2021-11-11T09:44:53Z" w:initials="F">
    <w:p w14:paraId="5FCC6911">
      <w:pPr>
        <w:pStyle w:val="7"/>
        <w:rPr>
          <w:rFonts w:hint="eastAsia" w:eastAsiaTheme="minorEastAsia"/>
          <w:lang w:eastAsia="zh-CN"/>
        </w:rPr>
      </w:pPr>
      <w:r>
        <w:rPr>
          <w:rFonts w:hint="eastAsia" w:ascii="Times New Roman" w:hAnsi="Times New Roman" w:cs="Times New Roman"/>
          <w:strike w:val="0"/>
          <w:dstrike w:val="0"/>
          <w:color w:val="auto"/>
          <w:highlight w:val="none"/>
          <w:lang w:eastAsia="zh-CN"/>
        </w:rPr>
        <w:t>管控要求应与</w:t>
      </w:r>
      <w:r>
        <w:rPr>
          <w:rFonts w:hint="default" w:ascii="Times New Roman" w:hAnsi="Times New Roman" w:cs="Times New Roman" w:eastAsiaTheme="minorEastAsia"/>
          <w:strike w:val="0"/>
          <w:dstrike w:val="0"/>
          <w:color w:val="auto"/>
          <w:highlight w:val="none"/>
        </w:rPr>
        <w:t>ZH45020320002</w:t>
      </w:r>
      <w:r>
        <w:rPr>
          <w:rFonts w:hint="eastAsia" w:ascii="Times New Roman" w:hAnsi="Times New Roman" w:cs="Times New Roman"/>
          <w:strike w:val="0"/>
          <w:dstrike w:val="0"/>
          <w:color w:val="auto"/>
          <w:highlight w:val="none"/>
          <w:lang w:eastAsia="zh-CN"/>
        </w:rPr>
        <w:t>一致，且该管控单位</w:t>
      </w:r>
      <w:r>
        <w:rPr>
          <w:rFonts w:hint="eastAsia"/>
          <w:lang w:eastAsia="zh-CN"/>
        </w:rPr>
        <w:t>无</w:t>
      </w:r>
      <w:r>
        <w:rPr>
          <w:rFonts w:hint="default" w:cs="Times New Roman" w:eastAsiaTheme="minorEastAsia"/>
          <w:strike w:val="0"/>
          <w:dstrike w:val="0"/>
          <w:color w:val="auto"/>
          <w:highlight w:val="none"/>
          <w:lang w:eastAsia="zh-CN"/>
        </w:rPr>
        <w:t>资源开发利用效率要求</w:t>
      </w:r>
    </w:p>
  </w:comment>
  <w:comment w:id="7" w:author="FGK" w:date="2021-11-11T10:32:58Z" w:initials="F">
    <w:p w14:paraId="02B71409">
      <w:pPr>
        <w:pStyle w:val="7"/>
        <w:rPr>
          <w:rFonts w:hint="eastAsia" w:eastAsiaTheme="minorEastAsia"/>
          <w:lang w:eastAsia="zh-CN"/>
        </w:rPr>
      </w:pPr>
      <w:r>
        <w:rPr>
          <w:rFonts w:hint="eastAsia"/>
          <w:lang w:eastAsia="zh-CN"/>
        </w:rPr>
        <w:t>无</w:t>
      </w:r>
      <w:r>
        <w:rPr>
          <w:rFonts w:hint="default" w:cs="Times New Roman" w:eastAsiaTheme="minorEastAsia"/>
          <w:strike w:val="0"/>
          <w:dstrike w:val="0"/>
          <w:color w:val="auto"/>
          <w:highlight w:val="none"/>
          <w:lang w:eastAsia="zh-CN"/>
        </w:rPr>
        <w:t>资源开发利用效率要求</w:t>
      </w:r>
    </w:p>
  </w:comment>
  <w:comment w:id="8" w:author="FGK" w:date="2021-11-11T10:33:57Z" w:initials="F">
    <w:p w14:paraId="76605666">
      <w:pPr>
        <w:pStyle w:val="7"/>
        <w:rPr>
          <w:rFonts w:hint="eastAsia" w:eastAsiaTheme="minorEastAsia"/>
          <w:lang w:eastAsia="zh-CN"/>
        </w:rPr>
      </w:pPr>
      <w:r>
        <w:rPr>
          <w:rFonts w:hint="eastAsia"/>
          <w:lang w:eastAsia="zh-CN"/>
        </w:rPr>
        <w:t>无</w:t>
      </w:r>
      <w:r>
        <w:rPr>
          <w:rFonts w:hint="default" w:cs="Times New Roman" w:eastAsiaTheme="minorEastAsia"/>
          <w:strike w:val="0"/>
          <w:dstrike w:val="0"/>
          <w:color w:val="auto"/>
          <w:highlight w:val="none"/>
          <w:lang w:eastAsia="zh-CN"/>
        </w:rPr>
        <w:t>资源开发利用效率要求</w:t>
      </w:r>
    </w:p>
    <w:p w14:paraId="001216D0">
      <w:pPr>
        <w:pStyle w:val="7"/>
      </w:pPr>
    </w:p>
  </w:comment>
  <w:comment w:id="9" w:author="FGK" w:date="2021-11-11T10:41:29Z" w:initials="F">
    <w:p w14:paraId="2EB44185">
      <w:pPr>
        <w:pStyle w:val="7"/>
        <w:rPr>
          <w:rFonts w:hint="eastAsia" w:eastAsiaTheme="minorEastAsia"/>
          <w:lang w:eastAsia="zh-CN"/>
        </w:rPr>
      </w:pPr>
      <w:r>
        <w:rPr>
          <w:rFonts w:hint="eastAsia"/>
          <w:lang w:eastAsia="zh-CN"/>
        </w:rPr>
        <w:t>无</w:t>
      </w:r>
      <w:r>
        <w:rPr>
          <w:rFonts w:hint="default" w:cs="Times New Roman" w:eastAsiaTheme="minorEastAsia"/>
          <w:strike w:val="0"/>
          <w:dstrike w:val="0"/>
          <w:color w:val="auto"/>
          <w:highlight w:val="none"/>
          <w:lang w:eastAsia="zh-CN"/>
        </w:rPr>
        <w:t>资源开发利用效率要求</w:t>
      </w:r>
    </w:p>
    <w:p w14:paraId="412B1705">
      <w:pPr>
        <w:pStyle w:val="7"/>
      </w:pPr>
    </w:p>
  </w:comment>
  <w:comment w:id="10" w:author="FGK" w:date="2021-11-11T10:44:31Z" w:initials="F">
    <w:p w14:paraId="0D08015D">
      <w:pPr>
        <w:pStyle w:val="7"/>
      </w:pPr>
    </w:p>
  </w:comment>
  <w:comment w:id="11" w:author="FGK" w:date="2021-11-11T10:43:10Z" w:initials="F">
    <w:p w14:paraId="4F7B2CAD">
      <w:pPr>
        <w:pStyle w:val="7"/>
        <w:rPr>
          <w:rFonts w:hint="eastAsia" w:eastAsiaTheme="minorEastAsia"/>
          <w:lang w:eastAsia="zh-CN"/>
        </w:rPr>
      </w:pPr>
      <w:r>
        <w:rPr>
          <w:rFonts w:hint="eastAsia"/>
          <w:lang w:eastAsia="zh-CN"/>
        </w:rPr>
        <w:t>无</w:t>
      </w:r>
      <w:r>
        <w:rPr>
          <w:rFonts w:hint="default" w:cs="Times New Roman" w:eastAsiaTheme="minorEastAsia"/>
          <w:strike w:val="0"/>
          <w:dstrike w:val="0"/>
          <w:color w:val="auto"/>
          <w:highlight w:val="none"/>
          <w:lang w:eastAsia="zh-CN"/>
        </w:rPr>
        <w:t>资源开发利用效率要求</w:t>
      </w:r>
    </w:p>
    <w:p w14:paraId="62CE44CF">
      <w:pPr>
        <w:pStyle w:val="7"/>
      </w:pPr>
    </w:p>
  </w:comment>
  <w:comment w:id="12" w:author="FGK" w:date="2021-11-11T10:44:56Z" w:initials="F">
    <w:p w14:paraId="650B094D">
      <w:pPr>
        <w:pStyle w:val="7"/>
      </w:pPr>
    </w:p>
  </w:comment>
  <w:comment w:id="13" w:author="FGK" w:date="2021-11-11T10:44:04Z" w:initials="F">
    <w:p w14:paraId="0074320F">
      <w:pPr>
        <w:pStyle w:val="7"/>
        <w:rPr>
          <w:rFonts w:hint="eastAsia" w:eastAsiaTheme="minorEastAsia"/>
          <w:lang w:eastAsia="zh-CN"/>
        </w:rPr>
      </w:pPr>
      <w:r>
        <w:rPr>
          <w:rFonts w:hint="eastAsia"/>
          <w:lang w:eastAsia="zh-CN"/>
        </w:rPr>
        <w:t>无</w:t>
      </w:r>
      <w:r>
        <w:rPr>
          <w:rFonts w:hint="default" w:cs="Times New Roman" w:eastAsiaTheme="minorEastAsia"/>
          <w:strike w:val="0"/>
          <w:dstrike w:val="0"/>
          <w:color w:val="auto"/>
          <w:highlight w:val="none"/>
          <w:lang w:eastAsia="zh-CN"/>
        </w:rPr>
        <w:t>资源开发利用效率要求</w:t>
      </w:r>
    </w:p>
    <w:p w14:paraId="4CE83265">
      <w:pPr>
        <w:pStyle w:val="7"/>
      </w:pPr>
    </w:p>
  </w:comment>
  <w:comment w:id="14" w:author="FGK" w:date="2021-11-11T10:48:15Z" w:initials="F">
    <w:p w14:paraId="397E154E">
      <w:pPr>
        <w:pStyle w:val="7"/>
      </w:pPr>
      <w:r>
        <w:rPr>
          <w:rFonts w:hint="eastAsia"/>
          <w:lang w:eastAsia="zh-CN"/>
        </w:rPr>
        <w:t>无</w:t>
      </w:r>
      <w:r>
        <w:rPr>
          <w:rFonts w:hint="default" w:cs="Times New Roman" w:eastAsiaTheme="minorEastAsia"/>
          <w:strike w:val="0"/>
          <w:dstrike w:val="0"/>
          <w:color w:val="auto"/>
          <w:highlight w:val="none"/>
          <w:lang w:eastAsia="zh-CN"/>
        </w:rPr>
        <w:t>资源开发利用效率要求</w:t>
      </w:r>
    </w:p>
  </w:comment>
  <w:comment w:id="15" w:author="FGK" w:date="2021-11-11T10:59:14Z" w:initials="F">
    <w:p w14:paraId="27D2453A">
      <w:pPr>
        <w:pStyle w:val="7"/>
      </w:pPr>
      <w:r>
        <w:rPr>
          <w:rFonts w:hint="eastAsia"/>
          <w:lang w:eastAsia="zh-CN"/>
        </w:rPr>
        <w:t>无</w:t>
      </w:r>
      <w:r>
        <w:rPr>
          <w:rFonts w:hint="default" w:cs="Times New Roman" w:eastAsiaTheme="minorEastAsia"/>
          <w:strike w:val="0"/>
          <w:dstrike w:val="0"/>
          <w:color w:val="auto"/>
          <w:highlight w:val="none"/>
          <w:lang w:eastAsia="zh-CN"/>
        </w:rPr>
        <w:t>资源开发利用效率要求</w:t>
      </w:r>
    </w:p>
    <w:p w14:paraId="6ED76296">
      <w:pPr>
        <w:pStyle w:val="7"/>
      </w:pPr>
    </w:p>
  </w:comment>
  <w:comment w:id="16" w:author="FGK" w:date="2021-11-11T11:01:29Z" w:initials="F">
    <w:p w14:paraId="693427D8">
      <w:pPr>
        <w:pStyle w:val="7"/>
        <w:rPr>
          <w:rFonts w:hint="eastAsia" w:eastAsiaTheme="minorEastAsia"/>
          <w:lang w:eastAsia="zh-CN"/>
        </w:rPr>
      </w:pPr>
      <w:r>
        <w:rPr>
          <w:rFonts w:hint="eastAsia"/>
          <w:lang w:eastAsia="zh-CN"/>
        </w:rPr>
        <w:t>无</w:t>
      </w:r>
      <w:r>
        <w:rPr>
          <w:rFonts w:hint="default" w:ascii="Times New Roman" w:hAnsi="Times New Roman" w:cs="Times New Roman" w:eastAsiaTheme="minorEastAsia"/>
          <w:strike w:val="0"/>
          <w:dstrike w:val="0"/>
          <w:color w:val="auto"/>
          <w:highlight w:val="none"/>
        </w:rPr>
        <w:t>环境风险防控</w:t>
      </w:r>
      <w:r>
        <w:rPr>
          <w:rFonts w:hint="eastAsia" w:ascii="Times New Roman" w:hAnsi="Times New Roman" w:cs="Times New Roman"/>
          <w:strike w:val="0"/>
          <w:dstrike w:val="0"/>
          <w:color w:val="auto"/>
          <w:highlight w:val="none"/>
          <w:lang w:eastAsia="zh-CN"/>
        </w:rPr>
        <w:t>，资源利用要求</w:t>
      </w:r>
    </w:p>
  </w:comment>
  <w:comment w:id="17" w:author="FGK" w:date="2021-11-11T11:28:02Z" w:initials="F">
    <w:p w14:paraId="13690EF5">
      <w:pPr>
        <w:pStyle w:val="7"/>
        <w:rPr>
          <w:rFonts w:hint="eastAsia" w:eastAsiaTheme="minorEastAsia"/>
          <w:lang w:eastAsia="zh-CN"/>
        </w:rPr>
      </w:pPr>
      <w:r>
        <w:rPr>
          <w:rFonts w:hint="eastAsia"/>
          <w:lang w:eastAsia="zh-CN"/>
        </w:rPr>
        <w:t>无</w:t>
      </w:r>
      <w:r>
        <w:rPr>
          <w:rFonts w:hint="default" w:ascii="Times New Roman" w:hAnsi="Times New Roman" w:cs="Times New Roman" w:eastAsiaTheme="minorEastAsia"/>
          <w:strike w:val="0"/>
          <w:dstrike w:val="0"/>
          <w:color w:val="auto"/>
          <w:highlight w:val="none"/>
        </w:rPr>
        <w:t>环境风险防控</w:t>
      </w:r>
      <w:r>
        <w:rPr>
          <w:rFonts w:hint="eastAsia" w:ascii="Times New Roman" w:hAnsi="Times New Roman" w:cs="Times New Roman"/>
          <w:strike w:val="0"/>
          <w:dstrike w:val="0"/>
          <w:color w:val="auto"/>
          <w:highlight w:val="none"/>
          <w:lang w:eastAsia="zh-CN"/>
        </w:rPr>
        <w:t>，资源利用要求</w:t>
      </w:r>
    </w:p>
    <w:p w14:paraId="20594B58">
      <w:pPr>
        <w:pStyle w:val="7"/>
      </w:pPr>
    </w:p>
  </w:comment>
  <w:comment w:id="18" w:author="FGK" w:date="2021-11-12T08:30:43Z" w:initials="F">
    <w:p w14:paraId="5EEB04DD">
      <w:pPr>
        <w:pStyle w:val="7"/>
        <w:rPr>
          <w:rFonts w:hint="eastAsia" w:eastAsiaTheme="minorEastAsia"/>
          <w:lang w:val="en-US" w:eastAsia="zh-CN"/>
        </w:rPr>
      </w:pPr>
      <w:r>
        <w:rPr>
          <w:rFonts w:hint="eastAsia"/>
          <w:lang w:val="en-US" w:eastAsia="zh-CN"/>
        </w:rPr>
        <w:t>无资源利用管理要求</w:t>
      </w:r>
    </w:p>
  </w:comment>
  <w:comment w:id="19" w:author="FGK" w:date="2021-11-12T10:02:11Z" w:initials="F">
    <w:p w14:paraId="61DC635F">
      <w:pPr>
        <w:pStyle w:val="7"/>
        <w:rPr>
          <w:rFonts w:hint="eastAsia" w:eastAsiaTheme="minorEastAsia"/>
          <w:lang w:val="en-US" w:eastAsia="zh-CN"/>
        </w:rPr>
      </w:pPr>
      <w:r>
        <w:rPr>
          <w:rFonts w:hint="eastAsia"/>
          <w:lang w:val="en-US" w:eastAsia="zh-CN"/>
        </w:rPr>
        <w:t>无资源开发利用要求</w:t>
      </w:r>
    </w:p>
  </w:comment>
  <w:comment w:id="20" w:author="FGK" w:date="2021-11-12T10:02:50Z" w:initials="F">
    <w:p w14:paraId="22FA37CB">
      <w:pPr>
        <w:pStyle w:val="7"/>
        <w:rPr>
          <w:rFonts w:hint="eastAsia" w:eastAsiaTheme="minorEastAsia"/>
          <w:lang w:val="en-US" w:eastAsia="zh-CN"/>
        </w:rPr>
      </w:pPr>
      <w:r>
        <w:rPr>
          <w:rFonts w:hint="eastAsia"/>
          <w:lang w:val="en-US" w:eastAsia="zh-CN"/>
        </w:rPr>
        <w:t>无资源开发利用要求</w:t>
      </w:r>
    </w:p>
    <w:p w14:paraId="656036E7">
      <w:pPr>
        <w:pStyle w:val="7"/>
      </w:pPr>
    </w:p>
  </w:comment>
  <w:comment w:id="21" w:author="FGK" w:date="2021-11-12T10:03:42Z" w:initials="F">
    <w:p w14:paraId="766C1B27">
      <w:pPr>
        <w:pStyle w:val="7"/>
        <w:rPr>
          <w:rFonts w:hint="eastAsia" w:eastAsiaTheme="minorEastAsia"/>
          <w:lang w:val="en-US" w:eastAsia="zh-CN"/>
        </w:rPr>
      </w:pPr>
      <w:r>
        <w:rPr>
          <w:rFonts w:hint="eastAsia"/>
          <w:lang w:eastAsia="zh-CN"/>
        </w:rPr>
        <w:t>无环境风险管控、</w:t>
      </w:r>
      <w:r>
        <w:rPr>
          <w:rFonts w:hint="eastAsia"/>
          <w:lang w:val="en-US" w:eastAsia="zh-CN"/>
        </w:rPr>
        <w:t>无资源开发利用要求</w:t>
      </w:r>
    </w:p>
    <w:p w14:paraId="2B826E42">
      <w:pPr>
        <w:pStyle w:val="7"/>
        <w:rPr>
          <w:rFonts w:hint="eastAsia" w:eastAsiaTheme="minorEastAsia"/>
          <w:lang w:eastAsia="zh-CN"/>
        </w:rPr>
      </w:pPr>
    </w:p>
  </w:comment>
  <w:comment w:id="22" w:author="FGK" w:date="2021-11-12T10:05:28Z" w:initials="F">
    <w:p w14:paraId="2AE1006B">
      <w:pPr>
        <w:pStyle w:val="7"/>
        <w:rPr>
          <w:rFonts w:hint="eastAsia" w:eastAsiaTheme="minorEastAsia"/>
          <w:lang w:eastAsia="zh-CN"/>
        </w:rPr>
      </w:pPr>
      <w:r>
        <w:rPr>
          <w:rFonts w:hint="eastAsia"/>
          <w:lang w:eastAsia="zh-CN"/>
        </w:rPr>
        <w:t>无资源利用要求</w:t>
      </w:r>
    </w:p>
  </w:comment>
  <w:comment w:id="23" w:author="FGK" w:date="2021-11-12T10:10:37Z" w:initials="F">
    <w:p w14:paraId="400C025B">
      <w:pPr>
        <w:pStyle w:val="7"/>
        <w:rPr>
          <w:rFonts w:hint="eastAsia" w:eastAsiaTheme="minorEastAsia"/>
          <w:lang w:eastAsia="zh-CN"/>
        </w:rPr>
      </w:pPr>
      <w:r>
        <w:rPr>
          <w:rFonts w:hint="eastAsia"/>
          <w:lang w:eastAsia="zh-CN"/>
        </w:rPr>
        <w:t>无资源利用要求</w:t>
      </w:r>
    </w:p>
  </w:comment>
  <w:comment w:id="24" w:author="FGK" w:date="2021-11-12T10:11:24Z" w:initials="F">
    <w:p w14:paraId="409A2088">
      <w:pPr>
        <w:pStyle w:val="7"/>
        <w:rPr>
          <w:rFonts w:hint="eastAsia" w:eastAsiaTheme="minorEastAsia"/>
          <w:lang w:eastAsia="zh-CN"/>
        </w:rPr>
      </w:pPr>
      <w:r>
        <w:rPr>
          <w:rFonts w:hint="eastAsia"/>
          <w:lang w:eastAsia="zh-CN"/>
        </w:rPr>
        <w:t>无资源利用要求</w:t>
      </w:r>
    </w:p>
    <w:p w14:paraId="6C6B3140">
      <w:pPr>
        <w:pStyle w:val="7"/>
      </w:pPr>
    </w:p>
  </w:comment>
  <w:comment w:id="25" w:author="FGK" w:date="2021-11-12T10:12:07Z" w:initials="F">
    <w:p w14:paraId="4C8F5486">
      <w:pPr>
        <w:pStyle w:val="7"/>
        <w:rPr>
          <w:rFonts w:hint="eastAsia" w:eastAsiaTheme="minorEastAsia"/>
          <w:lang w:eastAsia="zh-CN"/>
        </w:rPr>
      </w:pPr>
      <w:r>
        <w:rPr>
          <w:rFonts w:hint="eastAsia"/>
          <w:lang w:eastAsia="zh-CN"/>
        </w:rPr>
        <w:t>无资源利用要求</w:t>
      </w:r>
    </w:p>
    <w:p w14:paraId="6E641BDD">
      <w:pPr>
        <w:pStyle w:val="7"/>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A1B1D68" w15:done="0"/>
  <w15:commentEx w15:paraId="181E7061" w15:done="0"/>
  <w15:commentEx w15:paraId="3D773228" w15:done="0"/>
  <w15:commentEx w15:paraId="3B1E27B7" w15:done="0"/>
  <w15:commentEx w15:paraId="604B6664" w15:done="0"/>
  <w15:commentEx w15:paraId="5FFA3AE0" w15:done="0"/>
  <w15:commentEx w15:paraId="5FCC6911" w15:done="0"/>
  <w15:commentEx w15:paraId="02B71409" w15:done="0"/>
  <w15:commentEx w15:paraId="001216D0" w15:done="0"/>
  <w15:commentEx w15:paraId="412B1705" w15:done="0"/>
  <w15:commentEx w15:paraId="0D08015D" w15:done="0"/>
  <w15:commentEx w15:paraId="62CE44CF" w15:done="0"/>
  <w15:commentEx w15:paraId="650B094D" w15:done="0"/>
  <w15:commentEx w15:paraId="4CE83265" w15:done="0"/>
  <w15:commentEx w15:paraId="397E154E" w15:done="0"/>
  <w15:commentEx w15:paraId="6ED76296" w15:done="0"/>
  <w15:commentEx w15:paraId="693427D8" w15:done="0"/>
  <w15:commentEx w15:paraId="20594B58" w15:done="0"/>
  <w15:commentEx w15:paraId="5EEB04DD" w15:done="0"/>
  <w15:commentEx w15:paraId="61DC635F" w15:done="0"/>
  <w15:commentEx w15:paraId="656036E7" w15:done="0"/>
  <w15:commentEx w15:paraId="2B826E42" w15:done="0"/>
  <w15:commentEx w15:paraId="2AE1006B" w15:done="0"/>
  <w15:commentEx w15:paraId="400C025B" w15:done="0"/>
  <w15:commentEx w15:paraId="6C6B3140" w15:done="0"/>
  <w15:commentEx w15:paraId="6E641B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0891441"/>
    </w:sdtPr>
    <w:sdtContent>
      <w:p>
        <w:pPr>
          <w:pStyle w:val="1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III</w:t>
        </w:r>
        <w:r>
          <w:rPr>
            <w:rFonts w:ascii="Times New Roman" w:hAnsi="Times New Roman" w:cs="Times New Roman"/>
            <w:sz w:val="21"/>
            <w:szCs w:val="2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Times New Roman"/>
        <w:kern w:val="2"/>
        <w:sz w:val="21"/>
        <w:szCs w:val="22"/>
        <w:lang w:val="en-US" w:eastAsia="zh-CN" w:bidi="ar-SA"/>
      </w:rPr>
      <w:id w:val="411521651"/>
    </w:sdtPr>
    <w:sdtEndPr>
      <w:rPr>
        <w:rFonts w:ascii="Calibri" w:hAnsi="Calibri" w:eastAsia="宋体" w:cs="Times New Roman"/>
        <w:kern w:val="2"/>
        <w:sz w:val="18"/>
        <w:szCs w:val="18"/>
        <w:lang w:val="en-US" w:eastAsia="zh-CN" w:bidi="ar-SA"/>
      </w:rPr>
    </w:sdtEndPr>
    <w:sdtContent>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t xml:space="preserve">- </w:t>
        </w:r>
        <w:r>
          <w:rPr>
            <w:rFonts w:ascii="Times New Roman" w:hAnsi="Times New Roman" w:eastAsia="宋体" w:cs="Times New Roman"/>
            <w:kern w:val="2"/>
            <w:sz w:val="21"/>
            <w:szCs w:val="21"/>
            <w:lang w:val="en-US" w:eastAsia="zh-CN" w:bidi="ar-SA"/>
          </w:rPr>
          <w:fldChar w:fldCharType="begin"/>
        </w:r>
        <w:r>
          <w:rPr>
            <w:rFonts w:ascii="Times New Roman" w:hAnsi="Times New Roman" w:eastAsia="宋体" w:cs="Times New Roman"/>
            <w:kern w:val="2"/>
            <w:sz w:val="21"/>
            <w:szCs w:val="21"/>
            <w:lang w:val="en-US" w:eastAsia="zh-CN" w:bidi="ar-SA"/>
          </w:rPr>
          <w:instrText xml:space="preserve">PAGE   \* MERGEFORMAT</w:instrText>
        </w:r>
        <w:r>
          <w:rPr>
            <w:rFonts w:ascii="Times New Roman" w:hAnsi="Times New Roman" w:eastAsia="宋体" w:cs="Times New Roman"/>
            <w:kern w:val="2"/>
            <w:sz w:val="21"/>
            <w:szCs w:val="21"/>
            <w:lang w:val="en-US" w:eastAsia="zh-CN" w:bidi="ar-SA"/>
          </w:rPr>
          <w:fldChar w:fldCharType="separate"/>
        </w:r>
        <w:r>
          <w:rPr>
            <w:rFonts w:ascii="Times New Roman" w:hAnsi="Times New Roman" w:eastAsia="宋体" w:cs="Times New Roman"/>
            <w:kern w:val="2"/>
            <w:sz w:val="21"/>
            <w:szCs w:val="21"/>
            <w:lang w:val="zh-CN" w:eastAsia="zh-CN" w:bidi="ar-SA"/>
          </w:rPr>
          <w:t>218</w:t>
        </w:r>
        <w:r>
          <w:rPr>
            <w:rFonts w:ascii="Times New Roman" w:hAnsi="Times New Roman" w:eastAsia="宋体" w:cs="Times New Roman"/>
            <w:kern w:val="2"/>
            <w:sz w:val="21"/>
            <w:szCs w:val="21"/>
            <w:lang w:val="en-US" w:eastAsia="zh-CN" w:bidi="ar-SA"/>
          </w:rPr>
          <w:fldChar w:fldCharType="end"/>
        </w:r>
        <w:r>
          <w:rPr>
            <w:rFonts w:ascii="Times New Roman" w:hAnsi="Times New Roman" w:eastAsia="宋体" w:cs="Times New Roman"/>
            <w:kern w:val="2"/>
            <w:sz w:val="21"/>
            <w:szCs w:val="21"/>
            <w:lang w:val="en-US" w:eastAsia="zh-CN" w:bidi="ar-SA"/>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0"/>
      </w:rPr>
    </w:pPr>
    <w:r>
      <w:t xml:space="preserve">- </w:t>
    </w:r>
    <w:sdt>
      <w:sdtPr>
        <w:id w:val="1830087714"/>
      </w:sdtPr>
      <w:sdtEndPr>
        <w:rPr>
          <w:sz w:val="20"/>
        </w:rPr>
      </w:sdtEndPr>
      <w:sdtContent>
        <w:r>
          <w:rPr>
            <w:rFonts w:ascii="Times New Roman" w:hAnsi="Times New Roman" w:cs="Times New Roman"/>
            <w:sz w:val="20"/>
          </w:rPr>
          <w:fldChar w:fldCharType="begin"/>
        </w:r>
        <w:r>
          <w:rPr>
            <w:rFonts w:ascii="Times New Roman" w:hAnsi="Times New Roman" w:cs="Times New Roman"/>
            <w:sz w:val="20"/>
          </w:rPr>
          <w:instrText xml:space="preserve">PAGE   \* MERGEFORMAT</w:instrText>
        </w:r>
        <w:r>
          <w:rPr>
            <w:rFonts w:ascii="Times New Roman" w:hAnsi="Times New Roman" w:cs="Times New Roman"/>
            <w:sz w:val="20"/>
          </w:rPr>
          <w:fldChar w:fldCharType="separate"/>
        </w:r>
        <w:r>
          <w:rPr>
            <w:rFonts w:ascii="Times New Roman" w:hAnsi="Times New Roman" w:cs="Times New Roman"/>
            <w:sz w:val="20"/>
            <w:lang w:val="zh-CN"/>
          </w:rPr>
          <w:t>601</w:t>
        </w:r>
        <w:r>
          <w:rPr>
            <w:rFonts w:ascii="Times New Roman" w:hAnsi="Times New Roman" w:cs="Times New Roman"/>
            <w:sz w:val="20"/>
          </w:rPr>
          <w:fldChar w:fldCharType="end"/>
        </w:r>
        <w:r>
          <w:rPr>
            <w:rFonts w:ascii="Times New Roman" w:hAnsi="Times New Roman" w:cs="Times New Roman"/>
            <w:sz w:val="20"/>
          </w:rPr>
          <w:t xml:space="preserve"> -</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240" w:lineRule="auto"/>
      <w:rPr>
        <w:rFonts w:hint="eastAsia"/>
        <w:color w:val="auto"/>
        <w:sz w:val="20"/>
        <w:lang w:eastAsia="zh-CN"/>
      </w:rPr>
    </w:pPr>
  </w:p>
  <w:p>
    <w:pPr>
      <w:pStyle w:val="11"/>
      <w:adjustRightInd w:val="0"/>
      <w:spacing w:line="240" w:lineRule="auto"/>
      <w:rPr>
        <w:rFonts w:hint="eastAsia"/>
        <w:color w:val="auto"/>
        <w:sz w:val="20"/>
        <w:lang w:val="en-US" w:eastAsia="zh-CN"/>
      </w:rPr>
    </w:pPr>
    <w:r>
      <w:rPr>
        <w:rFonts w:hint="eastAsia" w:asciiTheme="minorHAnsi" w:hAnsiTheme="minorHAnsi" w:eastAsiaTheme="minorEastAsia" w:cstheme="minorBidi"/>
        <w:b w:val="0"/>
        <w:bCs w:val="0"/>
        <w:color w:val="auto"/>
        <w:sz w:val="20"/>
        <w:szCs w:val="18"/>
        <w:lang w:val="en-US" w:eastAsia="zh-CN"/>
      </w:rPr>
      <w:t>柳州</w:t>
    </w:r>
    <w:r>
      <w:rPr>
        <w:rFonts w:hint="eastAsia" w:asciiTheme="minorHAnsi" w:hAnsiTheme="minorHAnsi" w:eastAsiaTheme="minorEastAsia" w:cstheme="minorBidi"/>
        <w:b w:val="0"/>
        <w:bCs w:val="0"/>
        <w:color w:val="auto"/>
        <w:sz w:val="20"/>
        <w:szCs w:val="18"/>
      </w:rPr>
      <w:t>市</w:t>
    </w:r>
    <w:r>
      <w:rPr>
        <w:rFonts w:hint="eastAsia" w:asciiTheme="minorHAnsi" w:hAnsiTheme="minorHAnsi" w:eastAsiaTheme="minorEastAsia" w:cstheme="minorBidi"/>
        <w:b w:val="0"/>
        <w:bCs w:val="0"/>
        <w:color w:val="auto"/>
        <w:sz w:val="20"/>
        <w:szCs w:val="18"/>
        <w:lang w:val="en-US" w:eastAsia="zh-CN"/>
      </w:rPr>
      <w:t>环境管控单元生态环境准入及管控要求清单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jc w:val="center"/>
      <w:rPr>
        <w:rFonts w:ascii="Calibri" w:hAnsi="Calibri" w:eastAsia="宋体" w:cs="Times New Roman"/>
        <w:kern w:val="2"/>
        <w:sz w:val="20"/>
        <w:szCs w:val="18"/>
        <w:lang w:val="en-US" w:eastAsia="zh-CN" w:bidi="ar-SA"/>
      </w:rPr>
    </w:pPr>
    <w:r>
      <w:rPr>
        <w:rFonts w:hint="eastAsia" w:ascii="Calibri" w:hAnsi="Calibri" w:eastAsia="宋体" w:cs="Times New Roman"/>
        <w:kern w:val="2"/>
        <w:sz w:val="20"/>
        <w:szCs w:val="18"/>
        <w:lang w:val="en-US" w:eastAsia="zh-CN" w:bidi="ar-SA"/>
      </w:rPr>
      <w:t>广西壮族自治区生态环境准入清单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3FE946"/>
    <w:multiLevelType w:val="singleLevel"/>
    <w:tmpl w:val="AA3FE946"/>
    <w:lvl w:ilvl="0" w:tentative="0">
      <w:start w:val="1"/>
      <w:numFmt w:val="decimal"/>
      <w:suff w:val="space"/>
      <w:lvlText w:val="%1."/>
      <w:lvlJc w:val="left"/>
    </w:lvl>
  </w:abstractNum>
  <w:abstractNum w:abstractNumId="1">
    <w:nsid w:val="E5D14E07"/>
    <w:multiLevelType w:val="singleLevel"/>
    <w:tmpl w:val="E5D14E07"/>
    <w:lvl w:ilvl="0" w:tentative="0">
      <w:start w:val="1"/>
      <w:numFmt w:val="decimal"/>
      <w:suff w:val="space"/>
      <w:lvlText w:val="%1."/>
      <w:lvlJc w:val="left"/>
    </w:lvl>
  </w:abstractNum>
  <w:abstractNum w:abstractNumId="2">
    <w:nsid w:val="EB22D7EC"/>
    <w:multiLevelType w:val="singleLevel"/>
    <w:tmpl w:val="EB22D7EC"/>
    <w:lvl w:ilvl="0" w:tentative="0">
      <w:start w:val="1"/>
      <w:numFmt w:val="decimal"/>
      <w:suff w:val="space"/>
      <w:lvlText w:val="%1."/>
      <w:lvlJc w:val="left"/>
    </w:lvl>
  </w:abstractNum>
  <w:abstractNum w:abstractNumId="3">
    <w:nsid w:val="FCA818F4"/>
    <w:multiLevelType w:val="singleLevel"/>
    <w:tmpl w:val="FCA818F4"/>
    <w:lvl w:ilvl="0" w:tentative="0">
      <w:start w:val="1"/>
      <w:numFmt w:val="decimal"/>
      <w:suff w:val="space"/>
      <w:lvlText w:val="%1."/>
      <w:lvlJc w:val="left"/>
    </w:lvl>
  </w:abstractNum>
  <w:abstractNum w:abstractNumId="4">
    <w:nsid w:val="59352C77"/>
    <w:multiLevelType w:val="singleLevel"/>
    <w:tmpl w:val="59352C77"/>
    <w:lvl w:ilvl="0" w:tentative="0">
      <w:start w:val="1"/>
      <w:numFmt w:val="decimal"/>
      <w:suff w:val="space"/>
      <w:lvlText w:val="%1."/>
      <w:lvlJc w:val="left"/>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GK">
    <w15:presenceInfo w15:providerId="None" w15:userId="FG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revisionView w:markup="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D78"/>
    <w:rsid w:val="000C7C90"/>
    <w:rsid w:val="00152F2E"/>
    <w:rsid w:val="00277F03"/>
    <w:rsid w:val="002A2CF6"/>
    <w:rsid w:val="002E7A3D"/>
    <w:rsid w:val="00344F31"/>
    <w:rsid w:val="004D4659"/>
    <w:rsid w:val="005154D2"/>
    <w:rsid w:val="007E05F6"/>
    <w:rsid w:val="00BA1EEC"/>
    <w:rsid w:val="00DF4CC0"/>
    <w:rsid w:val="01050A3E"/>
    <w:rsid w:val="010808ED"/>
    <w:rsid w:val="015F268D"/>
    <w:rsid w:val="01702D92"/>
    <w:rsid w:val="0217622D"/>
    <w:rsid w:val="02353DC9"/>
    <w:rsid w:val="02431B49"/>
    <w:rsid w:val="02907F19"/>
    <w:rsid w:val="03696764"/>
    <w:rsid w:val="03764D23"/>
    <w:rsid w:val="038B401B"/>
    <w:rsid w:val="039C45E0"/>
    <w:rsid w:val="03DB3E7B"/>
    <w:rsid w:val="03F474EB"/>
    <w:rsid w:val="04491F99"/>
    <w:rsid w:val="04584430"/>
    <w:rsid w:val="04CD0BD5"/>
    <w:rsid w:val="05247934"/>
    <w:rsid w:val="0558579A"/>
    <w:rsid w:val="05FB504F"/>
    <w:rsid w:val="062B1308"/>
    <w:rsid w:val="062D31BA"/>
    <w:rsid w:val="06730DF1"/>
    <w:rsid w:val="067E412A"/>
    <w:rsid w:val="06AC4CC3"/>
    <w:rsid w:val="06AF5B73"/>
    <w:rsid w:val="06B02EFB"/>
    <w:rsid w:val="06B13DB3"/>
    <w:rsid w:val="06F66F13"/>
    <w:rsid w:val="06F8334F"/>
    <w:rsid w:val="0704500C"/>
    <w:rsid w:val="0753603B"/>
    <w:rsid w:val="075A0C95"/>
    <w:rsid w:val="075E297D"/>
    <w:rsid w:val="07750B2A"/>
    <w:rsid w:val="07833B54"/>
    <w:rsid w:val="07AB7E6F"/>
    <w:rsid w:val="08364362"/>
    <w:rsid w:val="08752DC8"/>
    <w:rsid w:val="08905DAA"/>
    <w:rsid w:val="090D5F03"/>
    <w:rsid w:val="096E1A54"/>
    <w:rsid w:val="098A490D"/>
    <w:rsid w:val="09A37E6C"/>
    <w:rsid w:val="09A90044"/>
    <w:rsid w:val="09CF6A16"/>
    <w:rsid w:val="09FA648E"/>
    <w:rsid w:val="0A115C26"/>
    <w:rsid w:val="0A2D17E1"/>
    <w:rsid w:val="0A2F6E1E"/>
    <w:rsid w:val="0A471BC7"/>
    <w:rsid w:val="0A8D5DBB"/>
    <w:rsid w:val="0AA47975"/>
    <w:rsid w:val="0ABC4410"/>
    <w:rsid w:val="0AEB27CD"/>
    <w:rsid w:val="0AEF138A"/>
    <w:rsid w:val="0B5F3EC6"/>
    <w:rsid w:val="0BAB1627"/>
    <w:rsid w:val="0BDB14D7"/>
    <w:rsid w:val="0BDC65D1"/>
    <w:rsid w:val="0BED1107"/>
    <w:rsid w:val="0BF232D6"/>
    <w:rsid w:val="0C1E345A"/>
    <w:rsid w:val="0C215529"/>
    <w:rsid w:val="0C564C9C"/>
    <w:rsid w:val="0C5B3177"/>
    <w:rsid w:val="0CE72F4F"/>
    <w:rsid w:val="0D1F4498"/>
    <w:rsid w:val="0D21606D"/>
    <w:rsid w:val="0D2D61E8"/>
    <w:rsid w:val="0D690F9B"/>
    <w:rsid w:val="0DB27D13"/>
    <w:rsid w:val="0DB47DB6"/>
    <w:rsid w:val="0DE76D5A"/>
    <w:rsid w:val="0E516F06"/>
    <w:rsid w:val="0E7E5013"/>
    <w:rsid w:val="0E7F1DCE"/>
    <w:rsid w:val="0EF6286D"/>
    <w:rsid w:val="0F913267"/>
    <w:rsid w:val="0F924C67"/>
    <w:rsid w:val="100205A0"/>
    <w:rsid w:val="10750F43"/>
    <w:rsid w:val="108E0620"/>
    <w:rsid w:val="1099060F"/>
    <w:rsid w:val="10B3493B"/>
    <w:rsid w:val="10DA50EF"/>
    <w:rsid w:val="1131402E"/>
    <w:rsid w:val="114E08F9"/>
    <w:rsid w:val="11B41FCE"/>
    <w:rsid w:val="12253357"/>
    <w:rsid w:val="12430FDF"/>
    <w:rsid w:val="128B3C89"/>
    <w:rsid w:val="12966F16"/>
    <w:rsid w:val="129A0B64"/>
    <w:rsid w:val="12D87C7D"/>
    <w:rsid w:val="12F53B82"/>
    <w:rsid w:val="138D7777"/>
    <w:rsid w:val="13A271A6"/>
    <w:rsid w:val="14203072"/>
    <w:rsid w:val="146D6F18"/>
    <w:rsid w:val="149026EF"/>
    <w:rsid w:val="14A61B0D"/>
    <w:rsid w:val="14C27AC7"/>
    <w:rsid w:val="14F2323B"/>
    <w:rsid w:val="15875936"/>
    <w:rsid w:val="15F16671"/>
    <w:rsid w:val="16195DE9"/>
    <w:rsid w:val="162B2A73"/>
    <w:rsid w:val="164A7E53"/>
    <w:rsid w:val="16996649"/>
    <w:rsid w:val="16A45DB3"/>
    <w:rsid w:val="16C601EB"/>
    <w:rsid w:val="17290BEA"/>
    <w:rsid w:val="17831EC7"/>
    <w:rsid w:val="17856D6E"/>
    <w:rsid w:val="179639BC"/>
    <w:rsid w:val="17A72503"/>
    <w:rsid w:val="17AF7311"/>
    <w:rsid w:val="17B81329"/>
    <w:rsid w:val="17B94E32"/>
    <w:rsid w:val="18620138"/>
    <w:rsid w:val="1863527C"/>
    <w:rsid w:val="186F34EB"/>
    <w:rsid w:val="18BA3734"/>
    <w:rsid w:val="18C526BD"/>
    <w:rsid w:val="198E66AE"/>
    <w:rsid w:val="19981F83"/>
    <w:rsid w:val="19BE4A8B"/>
    <w:rsid w:val="19D86315"/>
    <w:rsid w:val="1A144039"/>
    <w:rsid w:val="1A4800F4"/>
    <w:rsid w:val="1AD81D4C"/>
    <w:rsid w:val="1B810299"/>
    <w:rsid w:val="1BE22399"/>
    <w:rsid w:val="1BF71B4E"/>
    <w:rsid w:val="1C5C26A2"/>
    <w:rsid w:val="1CB2611D"/>
    <w:rsid w:val="1CBA0719"/>
    <w:rsid w:val="1D165FAA"/>
    <w:rsid w:val="1D5C7CC4"/>
    <w:rsid w:val="1D994A47"/>
    <w:rsid w:val="1DB441A3"/>
    <w:rsid w:val="1E0C4BBA"/>
    <w:rsid w:val="1E30018F"/>
    <w:rsid w:val="1E466F8D"/>
    <w:rsid w:val="1E6B7712"/>
    <w:rsid w:val="1E887C3F"/>
    <w:rsid w:val="1EC96712"/>
    <w:rsid w:val="1EFA2590"/>
    <w:rsid w:val="1F084046"/>
    <w:rsid w:val="1F3C3DE3"/>
    <w:rsid w:val="1F456D50"/>
    <w:rsid w:val="1FDE4622"/>
    <w:rsid w:val="20D537CA"/>
    <w:rsid w:val="213440A4"/>
    <w:rsid w:val="219F6EA8"/>
    <w:rsid w:val="21A12411"/>
    <w:rsid w:val="21C34D27"/>
    <w:rsid w:val="21D37612"/>
    <w:rsid w:val="223F3635"/>
    <w:rsid w:val="226D3877"/>
    <w:rsid w:val="227637BB"/>
    <w:rsid w:val="22B85985"/>
    <w:rsid w:val="22DA614B"/>
    <w:rsid w:val="23780679"/>
    <w:rsid w:val="23C86209"/>
    <w:rsid w:val="242E10F6"/>
    <w:rsid w:val="246531CF"/>
    <w:rsid w:val="24A41387"/>
    <w:rsid w:val="24AF1B74"/>
    <w:rsid w:val="24DF6B95"/>
    <w:rsid w:val="251F351C"/>
    <w:rsid w:val="253959F5"/>
    <w:rsid w:val="255640D2"/>
    <w:rsid w:val="25834A6B"/>
    <w:rsid w:val="25991683"/>
    <w:rsid w:val="25FF400B"/>
    <w:rsid w:val="2685596F"/>
    <w:rsid w:val="26A06EEB"/>
    <w:rsid w:val="26AD2F7E"/>
    <w:rsid w:val="26CE67BF"/>
    <w:rsid w:val="26DC7251"/>
    <w:rsid w:val="26E92D99"/>
    <w:rsid w:val="271A5082"/>
    <w:rsid w:val="27295259"/>
    <w:rsid w:val="27435638"/>
    <w:rsid w:val="27473DD4"/>
    <w:rsid w:val="27940DCC"/>
    <w:rsid w:val="279461BA"/>
    <w:rsid w:val="27EA0B46"/>
    <w:rsid w:val="27FD22DF"/>
    <w:rsid w:val="28781BB9"/>
    <w:rsid w:val="289D038B"/>
    <w:rsid w:val="28B53FD6"/>
    <w:rsid w:val="28C23CD9"/>
    <w:rsid w:val="28C302ED"/>
    <w:rsid w:val="28E73F9D"/>
    <w:rsid w:val="290964E5"/>
    <w:rsid w:val="290E7AA2"/>
    <w:rsid w:val="29173033"/>
    <w:rsid w:val="29584BEF"/>
    <w:rsid w:val="297A5518"/>
    <w:rsid w:val="297F7226"/>
    <w:rsid w:val="29976DE0"/>
    <w:rsid w:val="29A56FD2"/>
    <w:rsid w:val="2A623BCE"/>
    <w:rsid w:val="2AC41022"/>
    <w:rsid w:val="2AD96528"/>
    <w:rsid w:val="2B011BFA"/>
    <w:rsid w:val="2B615185"/>
    <w:rsid w:val="2BAB0B9F"/>
    <w:rsid w:val="2C0330CB"/>
    <w:rsid w:val="2C164448"/>
    <w:rsid w:val="2C962FD1"/>
    <w:rsid w:val="2D257D18"/>
    <w:rsid w:val="2D57203F"/>
    <w:rsid w:val="2DB23594"/>
    <w:rsid w:val="2DF1594D"/>
    <w:rsid w:val="2E670B13"/>
    <w:rsid w:val="2EA159D1"/>
    <w:rsid w:val="2EF14998"/>
    <w:rsid w:val="2F101967"/>
    <w:rsid w:val="2F1E58D1"/>
    <w:rsid w:val="2F6177B0"/>
    <w:rsid w:val="2F6F280D"/>
    <w:rsid w:val="30613C27"/>
    <w:rsid w:val="30A63095"/>
    <w:rsid w:val="3114461A"/>
    <w:rsid w:val="311F465F"/>
    <w:rsid w:val="316B3893"/>
    <w:rsid w:val="31BD7499"/>
    <w:rsid w:val="31C9770C"/>
    <w:rsid w:val="31CB2D0F"/>
    <w:rsid w:val="31CC419F"/>
    <w:rsid w:val="31EE415F"/>
    <w:rsid w:val="328245A9"/>
    <w:rsid w:val="32825ED5"/>
    <w:rsid w:val="328B27A3"/>
    <w:rsid w:val="3290529C"/>
    <w:rsid w:val="3295346D"/>
    <w:rsid w:val="329E5E62"/>
    <w:rsid w:val="32AA1172"/>
    <w:rsid w:val="32D46D11"/>
    <w:rsid w:val="32FA29B8"/>
    <w:rsid w:val="3306717B"/>
    <w:rsid w:val="33126AC2"/>
    <w:rsid w:val="331B0B62"/>
    <w:rsid w:val="33313236"/>
    <w:rsid w:val="33741358"/>
    <w:rsid w:val="337B1608"/>
    <w:rsid w:val="338269AE"/>
    <w:rsid w:val="33885DEA"/>
    <w:rsid w:val="33B222A7"/>
    <w:rsid w:val="33F370B3"/>
    <w:rsid w:val="33FD3B77"/>
    <w:rsid w:val="341A494F"/>
    <w:rsid w:val="345313B4"/>
    <w:rsid w:val="34683F67"/>
    <w:rsid w:val="34E97086"/>
    <w:rsid w:val="34F745FF"/>
    <w:rsid w:val="352529B5"/>
    <w:rsid w:val="358D3287"/>
    <w:rsid w:val="35B36533"/>
    <w:rsid w:val="35B95862"/>
    <w:rsid w:val="35D91BC7"/>
    <w:rsid w:val="35F50054"/>
    <w:rsid w:val="35FD498F"/>
    <w:rsid w:val="361A6FF0"/>
    <w:rsid w:val="361E7DF6"/>
    <w:rsid w:val="3691264A"/>
    <w:rsid w:val="36B13827"/>
    <w:rsid w:val="36B967C7"/>
    <w:rsid w:val="37396508"/>
    <w:rsid w:val="378C02CA"/>
    <w:rsid w:val="37963902"/>
    <w:rsid w:val="37BE17BD"/>
    <w:rsid w:val="37FE10A7"/>
    <w:rsid w:val="38570904"/>
    <w:rsid w:val="387409C2"/>
    <w:rsid w:val="38866AEC"/>
    <w:rsid w:val="38C00A16"/>
    <w:rsid w:val="38D70191"/>
    <w:rsid w:val="38E540D0"/>
    <w:rsid w:val="38F674E2"/>
    <w:rsid w:val="39E36C4E"/>
    <w:rsid w:val="3A390BC5"/>
    <w:rsid w:val="3A651E4C"/>
    <w:rsid w:val="3BF821A8"/>
    <w:rsid w:val="3C0E2F9B"/>
    <w:rsid w:val="3C1613EA"/>
    <w:rsid w:val="3C6F1499"/>
    <w:rsid w:val="3C7261C6"/>
    <w:rsid w:val="3D2A185F"/>
    <w:rsid w:val="3D422293"/>
    <w:rsid w:val="3D4932FC"/>
    <w:rsid w:val="3DAD1691"/>
    <w:rsid w:val="3DC56D97"/>
    <w:rsid w:val="3DE378FA"/>
    <w:rsid w:val="3DF2182A"/>
    <w:rsid w:val="3DF36691"/>
    <w:rsid w:val="3E1A0450"/>
    <w:rsid w:val="3E325E8A"/>
    <w:rsid w:val="3EA2644E"/>
    <w:rsid w:val="3EA33A19"/>
    <w:rsid w:val="3EDE5750"/>
    <w:rsid w:val="3F444DF3"/>
    <w:rsid w:val="3F566C00"/>
    <w:rsid w:val="3FA52FEC"/>
    <w:rsid w:val="3FED4B58"/>
    <w:rsid w:val="40243AF5"/>
    <w:rsid w:val="40524223"/>
    <w:rsid w:val="40631E2A"/>
    <w:rsid w:val="406322A7"/>
    <w:rsid w:val="406B7EA4"/>
    <w:rsid w:val="407C2611"/>
    <w:rsid w:val="40AC0CD4"/>
    <w:rsid w:val="4158188E"/>
    <w:rsid w:val="41BA1E1F"/>
    <w:rsid w:val="41F54EAA"/>
    <w:rsid w:val="42042563"/>
    <w:rsid w:val="42097A53"/>
    <w:rsid w:val="420F268D"/>
    <w:rsid w:val="423E73A3"/>
    <w:rsid w:val="424370DE"/>
    <w:rsid w:val="428B51A4"/>
    <w:rsid w:val="42F41654"/>
    <w:rsid w:val="432B00C9"/>
    <w:rsid w:val="43325816"/>
    <w:rsid w:val="43B33A59"/>
    <w:rsid w:val="43C15C93"/>
    <w:rsid w:val="43D970AA"/>
    <w:rsid w:val="4433638A"/>
    <w:rsid w:val="44611303"/>
    <w:rsid w:val="44C26CDC"/>
    <w:rsid w:val="44DA0611"/>
    <w:rsid w:val="44FF24DD"/>
    <w:rsid w:val="45101F05"/>
    <w:rsid w:val="45337342"/>
    <w:rsid w:val="45540606"/>
    <w:rsid w:val="45631D14"/>
    <w:rsid w:val="45917A93"/>
    <w:rsid w:val="45A96E67"/>
    <w:rsid w:val="45BB4196"/>
    <w:rsid w:val="45CF78CA"/>
    <w:rsid w:val="460B24AF"/>
    <w:rsid w:val="462340A7"/>
    <w:rsid w:val="463C1BAF"/>
    <w:rsid w:val="46522D53"/>
    <w:rsid w:val="466131C8"/>
    <w:rsid w:val="46892749"/>
    <w:rsid w:val="47144B1B"/>
    <w:rsid w:val="476E7DFC"/>
    <w:rsid w:val="47D621B3"/>
    <w:rsid w:val="47DC0224"/>
    <w:rsid w:val="47FE3046"/>
    <w:rsid w:val="482871B3"/>
    <w:rsid w:val="4891081D"/>
    <w:rsid w:val="4945688F"/>
    <w:rsid w:val="497E4FE0"/>
    <w:rsid w:val="49946C68"/>
    <w:rsid w:val="4A171B46"/>
    <w:rsid w:val="4A4753EA"/>
    <w:rsid w:val="4AF23493"/>
    <w:rsid w:val="4AFC70BC"/>
    <w:rsid w:val="4B2C5C69"/>
    <w:rsid w:val="4B6316EB"/>
    <w:rsid w:val="4BE363A8"/>
    <w:rsid w:val="4C5F1D55"/>
    <w:rsid w:val="4C7E2F03"/>
    <w:rsid w:val="4CA43A63"/>
    <w:rsid w:val="4CBE2F5F"/>
    <w:rsid w:val="4CC27384"/>
    <w:rsid w:val="4CE4314E"/>
    <w:rsid w:val="4D0F3359"/>
    <w:rsid w:val="4D5D077A"/>
    <w:rsid w:val="4DC22225"/>
    <w:rsid w:val="4E1A4AA4"/>
    <w:rsid w:val="4E532747"/>
    <w:rsid w:val="4ECE26A7"/>
    <w:rsid w:val="4ECF3196"/>
    <w:rsid w:val="4EDB50CB"/>
    <w:rsid w:val="4F5E5D25"/>
    <w:rsid w:val="50270BD3"/>
    <w:rsid w:val="503F4F17"/>
    <w:rsid w:val="506B129E"/>
    <w:rsid w:val="508329E7"/>
    <w:rsid w:val="509F1E1A"/>
    <w:rsid w:val="50A70E2F"/>
    <w:rsid w:val="512A7CB0"/>
    <w:rsid w:val="51425831"/>
    <w:rsid w:val="5164749E"/>
    <w:rsid w:val="51AB62D2"/>
    <w:rsid w:val="51EB1F14"/>
    <w:rsid w:val="51F57FBC"/>
    <w:rsid w:val="52591306"/>
    <w:rsid w:val="52DB2B6E"/>
    <w:rsid w:val="533A17AF"/>
    <w:rsid w:val="536211FA"/>
    <w:rsid w:val="53772FB9"/>
    <w:rsid w:val="53D779D1"/>
    <w:rsid w:val="5415019B"/>
    <w:rsid w:val="548D2185"/>
    <w:rsid w:val="54E86F2B"/>
    <w:rsid w:val="54F0011E"/>
    <w:rsid w:val="550C23FF"/>
    <w:rsid w:val="555207DB"/>
    <w:rsid w:val="5553682D"/>
    <w:rsid w:val="55D812D0"/>
    <w:rsid w:val="55DC00D4"/>
    <w:rsid w:val="55F6156E"/>
    <w:rsid w:val="565115B1"/>
    <w:rsid w:val="566515D4"/>
    <w:rsid w:val="56C263EE"/>
    <w:rsid w:val="570A0672"/>
    <w:rsid w:val="572A1B78"/>
    <w:rsid w:val="57377FB3"/>
    <w:rsid w:val="578B0906"/>
    <w:rsid w:val="580943C2"/>
    <w:rsid w:val="58382D85"/>
    <w:rsid w:val="588D1352"/>
    <w:rsid w:val="58AF0A97"/>
    <w:rsid w:val="58E208AC"/>
    <w:rsid w:val="591670C7"/>
    <w:rsid w:val="592A495E"/>
    <w:rsid w:val="5A115F67"/>
    <w:rsid w:val="5A38559C"/>
    <w:rsid w:val="5A8378CF"/>
    <w:rsid w:val="5AAF3107"/>
    <w:rsid w:val="5AB971B8"/>
    <w:rsid w:val="5ACF1DFD"/>
    <w:rsid w:val="5BB17AC1"/>
    <w:rsid w:val="5BB64E38"/>
    <w:rsid w:val="5BDD3C97"/>
    <w:rsid w:val="5BE80A96"/>
    <w:rsid w:val="5BF16415"/>
    <w:rsid w:val="5C383485"/>
    <w:rsid w:val="5C701C3B"/>
    <w:rsid w:val="5CBF2B9C"/>
    <w:rsid w:val="5CFD6410"/>
    <w:rsid w:val="5D667576"/>
    <w:rsid w:val="5D797C9B"/>
    <w:rsid w:val="5DB4627F"/>
    <w:rsid w:val="5DF95F78"/>
    <w:rsid w:val="5E1523D8"/>
    <w:rsid w:val="5E187D03"/>
    <w:rsid w:val="5E8D6A01"/>
    <w:rsid w:val="5E9A32CC"/>
    <w:rsid w:val="5EB775BA"/>
    <w:rsid w:val="5ECC1008"/>
    <w:rsid w:val="5EFF7B92"/>
    <w:rsid w:val="5F081222"/>
    <w:rsid w:val="5F2873D7"/>
    <w:rsid w:val="5F2A0F3D"/>
    <w:rsid w:val="5F302ECC"/>
    <w:rsid w:val="5F3A1FF2"/>
    <w:rsid w:val="5F3B175B"/>
    <w:rsid w:val="5F7015BE"/>
    <w:rsid w:val="60135F37"/>
    <w:rsid w:val="60180183"/>
    <w:rsid w:val="604F4F3A"/>
    <w:rsid w:val="60A20514"/>
    <w:rsid w:val="610032EA"/>
    <w:rsid w:val="61760219"/>
    <w:rsid w:val="61772F11"/>
    <w:rsid w:val="619D68E3"/>
    <w:rsid w:val="61C45894"/>
    <w:rsid w:val="61D94F87"/>
    <w:rsid w:val="61F150A9"/>
    <w:rsid w:val="61F32E60"/>
    <w:rsid w:val="621A0212"/>
    <w:rsid w:val="62225C58"/>
    <w:rsid w:val="62430C61"/>
    <w:rsid w:val="625331A3"/>
    <w:rsid w:val="62537F8F"/>
    <w:rsid w:val="62AD1B84"/>
    <w:rsid w:val="62BB432A"/>
    <w:rsid w:val="62C67508"/>
    <w:rsid w:val="62F53907"/>
    <w:rsid w:val="62F9730B"/>
    <w:rsid w:val="632C3F47"/>
    <w:rsid w:val="634065E2"/>
    <w:rsid w:val="6359490C"/>
    <w:rsid w:val="63851050"/>
    <w:rsid w:val="63D559B2"/>
    <w:rsid w:val="64450C1C"/>
    <w:rsid w:val="648772ED"/>
    <w:rsid w:val="648F7530"/>
    <w:rsid w:val="64EF5308"/>
    <w:rsid w:val="650D6972"/>
    <w:rsid w:val="650E6B9C"/>
    <w:rsid w:val="65186359"/>
    <w:rsid w:val="652B4635"/>
    <w:rsid w:val="652E2891"/>
    <w:rsid w:val="660271BE"/>
    <w:rsid w:val="660A777C"/>
    <w:rsid w:val="663F153A"/>
    <w:rsid w:val="666B2E8C"/>
    <w:rsid w:val="66A527CE"/>
    <w:rsid w:val="66A659DB"/>
    <w:rsid w:val="66DB72C8"/>
    <w:rsid w:val="673F2D7D"/>
    <w:rsid w:val="675975D7"/>
    <w:rsid w:val="677D4F3B"/>
    <w:rsid w:val="68130707"/>
    <w:rsid w:val="682452D0"/>
    <w:rsid w:val="68B96DD0"/>
    <w:rsid w:val="68CB4D22"/>
    <w:rsid w:val="68E035DF"/>
    <w:rsid w:val="69037F93"/>
    <w:rsid w:val="697A4AA3"/>
    <w:rsid w:val="69B573BD"/>
    <w:rsid w:val="69D517AA"/>
    <w:rsid w:val="6A365537"/>
    <w:rsid w:val="6A5A0776"/>
    <w:rsid w:val="6A7119DC"/>
    <w:rsid w:val="6A73685B"/>
    <w:rsid w:val="6ADE0237"/>
    <w:rsid w:val="6B175434"/>
    <w:rsid w:val="6B3F2592"/>
    <w:rsid w:val="6B750AB3"/>
    <w:rsid w:val="6B9133BA"/>
    <w:rsid w:val="6BA07B96"/>
    <w:rsid w:val="6C6316C9"/>
    <w:rsid w:val="6C894EB0"/>
    <w:rsid w:val="6C91176E"/>
    <w:rsid w:val="6D104697"/>
    <w:rsid w:val="6D422DB1"/>
    <w:rsid w:val="6D647641"/>
    <w:rsid w:val="6E2445C4"/>
    <w:rsid w:val="6EBE394C"/>
    <w:rsid w:val="6EF938DA"/>
    <w:rsid w:val="6F316011"/>
    <w:rsid w:val="6F6E645D"/>
    <w:rsid w:val="6F90449E"/>
    <w:rsid w:val="70D53F9E"/>
    <w:rsid w:val="712E6B4B"/>
    <w:rsid w:val="71435317"/>
    <w:rsid w:val="722519CE"/>
    <w:rsid w:val="722B2074"/>
    <w:rsid w:val="722D08A7"/>
    <w:rsid w:val="728035A1"/>
    <w:rsid w:val="72831EDD"/>
    <w:rsid w:val="72871D3D"/>
    <w:rsid w:val="731C77ED"/>
    <w:rsid w:val="735A486E"/>
    <w:rsid w:val="73823660"/>
    <w:rsid w:val="73B20ABD"/>
    <w:rsid w:val="743752B8"/>
    <w:rsid w:val="74460661"/>
    <w:rsid w:val="744E16EA"/>
    <w:rsid w:val="74771966"/>
    <w:rsid w:val="747F1178"/>
    <w:rsid w:val="748F2A28"/>
    <w:rsid w:val="75CD6727"/>
    <w:rsid w:val="75FB2176"/>
    <w:rsid w:val="766E3C6F"/>
    <w:rsid w:val="767B7BE9"/>
    <w:rsid w:val="76FD7759"/>
    <w:rsid w:val="770E7796"/>
    <w:rsid w:val="7767521E"/>
    <w:rsid w:val="77E76109"/>
    <w:rsid w:val="78602092"/>
    <w:rsid w:val="786F580D"/>
    <w:rsid w:val="788505C4"/>
    <w:rsid w:val="78F51D0A"/>
    <w:rsid w:val="79047676"/>
    <w:rsid w:val="79232BE8"/>
    <w:rsid w:val="79285C1C"/>
    <w:rsid w:val="793D242A"/>
    <w:rsid w:val="7949383C"/>
    <w:rsid w:val="79844C33"/>
    <w:rsid w:val="79974B53"/>
    <w:rsid w:val="79B61A1F"/>
    <w:rsid w:val="79F17610"/>
    <w:rsid w:val="7AFB3B9C"/>
    <w:rsid w:val="7B3071A1"/>
    <w:rsid w:val="7B4A3217"/>
    <w:rsid w:val="7B7A0727"/>
    <w:rsid w:val="7BA2383F"/>
    <w:rsid w:val="7BB307CF"/>
    <w:rsid w:val="7BC21DD3"/>
    <w:rsid w:val="7BE26DD7"/>
    <w:rsid w:val="7BF610AC"/>
    <w:rsid w:val="7C4D0FCF"/>
    <w:rsid w:val="7CEB46B5"/>
    <w:rsid w:val="7D191036"/>
    <w:rsid w:val="7D573B34"/>
    <w:rsid w:val="7DD84CF0"/>
    <w:rsid w:val="7E0D6A80"/>
    <w:rsid w:val="7E274A3D"/>
    <w:rsid w:val="7E2B15EF"/>
    <w:rsid w:val="7E3519FF"/>
    <w:rsid w:val="7E3A3BFE"/>
    <w:rsid w:val="7EC53DEF"/>
    <w:rsid w:val="7EF74790"/>
    <w:rsid w:val="7EF85269"/>
    <w:rsid w:val="7F853B6D"/>
    <w:rsid w:val="7F8F114C"/>
    <w:rsid w:val="7FAA2F90"/>
    <w:rsid w:val="EDE93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adjustRightInd w:val="0"/>
      <w:snapToGrid w:val="0"/>
      <w:spacing w:before="156" w:beforeLines="50" w:after="156" w:afterLines="50" w:line="300" w:lineRule="auto"/>
      <w:outlineLvl w:val="0"/>
    </w:pPr>
    <w:rPr>
      <w:rFonts w:ascii="Times New Roman" w:hAnsi="Times New Roman" w:eastAsia="黑体"/>
      <w:bCs/>
      <w:kern w:val="44"/>
      <w:sz w:val="32"/>
      <w:szCs w:val="44"/>
    </w:rPr>
  </w:style>
  <w:style w:type="paragraph" w:styleId="4">
    <w:name w:val="heading 2"/>
    <w:basedOn w:val="1"/>
    <w:next w:val="1"/>
    <w:unhideWhenUsed/>
    <w:qFormat/>
    <w:uiPriority w:val="0"/>
    <w:pPr>
      <w:keepNext/>
      <w:keepLines/>
      <w:adjustRightInd w:val="0"/>
      <w:snapToGrid w:val="0"/>
      <w:spacing w:before="156" w:beforeLines="50" w:after="156" w:afterLines="50" w:line="300" w:lineRule="auto"/>
      <w:outlineLvl w:val="1"/>
    </w:pPr>
    <w:rPr>
      <w:rFonts w:ascii="Times New Roman" w:hAnsi="Times New Roman" w:eastAsia="黑体" w:cs="Times New Roman"/>
      <w:bCs/>
      <w:sz w:val="30"/>
      <w:szCs w:val="32"/>
    </w:rPr>
  </w:style>
  <w:style w:type="paragraph" w:styleId="5">
    <w:name w:val="heading 3"/>
    <w:basedOn w:val="1"/>
    <w:next w:val="1"/>
    <w:link w:val="34"/>
    <w:unhideWhenUsed/>
    <w:qFormat/>
    <w:uiPriority w:val="0"/>
    <w:pPr>
      <w:keepNext/>
      <w:keepLines/>
      <w:adjustRightInd w:val="0"/>
      <w:snapToGrid w:val="0"/>
      <w:spacing w:before="156" w:beforeLines="50" w:after="156" w:afterLines="50" w:line="300" w:lineRule="auto"/>
      <w:outlineLvl w:val="2"/>
    </w:pPr>
    <w:rPr>
      <w:rFonts w:ascii="Times New Roman" w:hAnsi="Times New Roman" w:eastAsia="仿宋_GB2312"/>
      <w:b/>
      <w:bCs/>
      <w:sz w:val="32"/>
      <w:szCs w:val="32"/>
    </w:rPr>
  </w:style>
  <w:style w:type="character" w:default="1" w:styleId="17">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styleId="6">
    <w:name w:val="Normal Indent"/>
    <w:basedOn w:val="1"/>
    <w:unhideWhenUsed/>
    <w:qFormat/>
    <w:uiPriority w:val="0"/>
    <w:pPr>
      <w:ind w:firstLine="420" w:firstLineChars="200"/>
    </w:pPr>
  </w:style>
  <w:style w:type="paragraph" w:styleId="7">
    <w:name w:val="annotation text"/>
    <w:basedOn w:val="1"/>
    <w:unhideWhenUsed/>
    <w:qFormat/>
    <w:uiPriority w:val="99"/>
    <w:pPr>
      <w:jc w:val="left"/>
    </w:pPr>
  </w:style>
  <w:style w:type="paragraph" w:styleId="8">
    <w:name w:val="toc 3"/>
    <w:basedOn w:val="1"/>
    <w:next w:val="1"/>
    <w:unhideWhenUsed/>
    <w:qFormat/>
    <w:uiPriority w:val="39"/>
    <w:pPr>
      <w:widowControl/>
      <w:spacing w:after="100" w:line="276" w:lineRule="auto"/>
      <w:ind w:left="440"/>
      <w:jc w:val="left"/>
    </w:pPr>
    <w:rPr>
      <w:kern w:val="0"/>
      <w:sz w:val="22"/>
    </w:rPr>
  </w:style>
  <w:style w:type="paragraph" w:styleId="9">
    <w:name w:val="Balloon Text"/>
    <w:basedOn w:val="1"/>
    <w:link w:val="24"/>
    <w:qFormat/>
    <w:uiPriority w:val="0"/>
    <w:rPr>
      <w:sz w:val="18"/>
      <w:szCs w:val="18"/>
    </w:rPr>
  </w:style>
  <w:style w:type="paragraph" w:styleId="10">
    <w:name w:val="footer"/>
    <w:basedOn w:val="1"/>
    <w:link w:val="23"/>
    <w:qFormat/>
    <w:uiPriority w:val="0"/>
    <w:pPr>
      <w:tabs>
        <w:tab w:val="center" w:pos="4153"/>
        <w:tab w:val="right" w:pos="8306"/>
      </w:tabs>
      <w:snapToGrid w:val="0"/>
      <w:jc w:val="left"/>
    </w:pPr>
    <w:rPr>
      <w:sz w:val="18"/>
      <w:szCs w:val="18"/>
    </w:rPr>
  </w:style>
  <w:style w:type="paragraph" w:styleId="11">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76" w:lineRule="auto"/>
      <w:jc w:val="left"/>
    </w:pPr>
    <w:rPr>
      <w:kern w:val="0"/>
      <w:sz w:val="22"/>
    </w:rPr>
  </w:style>
  <w:style w:type="paragraph" w:styleId="13">
    <w:name w:val="toc 2"/>
    <w:basedOn w:val="1"/>
    <w:next w:val="1"/>
    <w:unhideWhenUsed/>
    <w:qFormat/>
    <w:uiPriority w:val="39"/>
    <w:pPr>
      <w:widowControl/>
      <w:spacing w:after="100" w:line="276" w:lineRule="auto"/>
      <w:ind w:left="220"/>
      <w:jc w:val="left"/>
    </w:pPr>
    <w:rPr>
      <w:kern w:val="0"/>
      <w:sz w:val="22"/>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Strong"/>
    <w:basedOn w:val="17"/>
    <w:qFormat/>
    <w:uiPriority w:val="0"/>
    <w:rPr>
      <w:b/>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customStyle="1" w:styleId="20">
    <w:name w:val="font31"/>
    <w:basedOn w:val="17"/>
    <w:qFormat/>
    <w:uiPriority w:val="0"/>
    <w:rPr>
      <w:rFonts w:hint="default" w:ascii="Arial" w:hAnsi="Arial" w:cs="Arial"/>
      <w:color w:val="000000"/>
      <w:sz w:val="24"/>
      <w:szCs w:val="24"/>
      <w:u w:val="none"/>
    </w:rPr>
  </w:style>
  <w:style w:type="character" w:customStyle="1" w:styleId="21">
    <w:name w:val="font01"/>
    <w:basedOn w:val="17"/>
    <w:qFormat/>
    <w:uiPriority w:val="0"/>
    <w:rPr>
      <w:rFonts w:hint="eastAsia" w:ascii="宋体" w:hAnsi="宋体" w:eastAsia="宋体" w:cs="宋体"/>
      <w:color w:val="000000"/>
      <w:sz w:val="24"/>
      <w:szCs w:val="24"/>
      <w:u w:val="none"/>
    </w:rPr>
  </w:style>
  <w:style w:type="character" w:customStyle="1" w:styleId="22">
    <w:name w:val="页眉 Char"/>
    <w:basedOn w:val="17"/>
    <w:link w:val="11"/>
    <w:qFormat/>
    <w:uiPriority w:val="0"/>
    <w:rPr>
      <w:rFonts w:asciiTheme="minorHAnsi" w:hAnsiTheme="minorHAnsi" w:eastAsiaTheme="minorEastAsia" w:cstheme="minorBidi"/>
      <w:kern w:val="2"/>
      <w:sz w:val="18"/>
      <w:szCs w:val="18"/>
    </w:rPr>
  </w:style>
  <w:style w:type="character" w:customStyle="1" w:styleId="23">
    <w:name w:val="页脚 Char"/>
    <w:basedOn w:val="17"/>
    <w:link w:val="10"/>
    <w:qFormat/>
    <w:uiPriority w:val="0"/>
    <w:rPr>
      <w:rFonts w:asciiTheme="minorHAnsi" w:hAnsiTheme="minorHAnsi" w:eastAsiaTheme="minorEastAsia" w:cstheme="minorBidi"/>
      <w:kern w:val="2"/>
      <w:sz w:val="18"/>
      <w:szCs w:val="18"/>
    </w:rPr>
  </w:style>
  <w:style w:type="character" w:customStyle="1" w:styleId="24">
    <w:name w:val="批注框文本 Char"/>
    <w:basedOn w:val="17"/>
    <w:link w:val="9"/>
    <w:qFormat/>
    <w:uiPriority w:val="0"/>
    <w:rPr>
      <w:rFonts w:asciiTheme="minorHAnsi" w:hAnsiTheme="minorHAnsi" w:eastAsiaTheme="minorEastAsia" w:cstheme="minorBidi"/>
      <w:kern w:val="2"/>
      <w:sz w:val="18"/>
      <w:szCs w:val="18"/>
    </w:rPr>
  </w:style>
  <w:style w:type="paragraph" w:customStyle="1" w:styleId="25">
    <w:name w:val="表格标题"/>
    <w:basedOn w:val="1"/>
    <w:qFormat/>
    <w:uiPriority w:val="0"/>
    <w:pPr>
      <w:adjustRightInd w:val="0"/>
      <w:snapToGrid w:val="0"/>
      <w:spacing w:line="300" w:lineRule="auto"/>
      <w:jc w:val="center"/>
      <w:outlineLvl w:val="3"/>
    </w:pPr>
    <w:rPr>
      <w:rFonts w:ascii="Times New Roman" w:hAnsi="Times New Roman" w:eastAsia="黑体" w:cs="Times New Roman"/>
      <w:sz w:val="24"/>
      <w:szCs w:val="21"/>
    </w:rPr>
  </w:style>
  <w:style w:type="table" w:customStyle="1" w:styleId="26">
    <w:name w:val="网格型24"/>
    <w:basedOn w:val="15"/>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7">
    <w:name w:val="表格内容"/>
    <w:basedOn w:val="1"/>
    <w:qFormat/>
    <w:uiPriority w:val="0"/>
    <w:pPr>
      <w:adjustRightInd w:val="0"/>
      <w:snapToGrid w:val="0"/>
    </w:pPr>
    <w:rPr>
      <w:rFonts w:ascii="Times New Roman" w:hAnsi="Times New Roman" w:eastAsia="宋体" w:cs="Times New Roman"/>
      <w:szCs w:val="21"/>
    </w:rPr>
  </w:style>
  <w:style w:type="paragraph" w:customStyle="1" w:styleId="28">
    <w:name w:val="List Paragraph"/>
    <w:basedOn w:val="1"/>
    <w:qFormat/>
    <w:uiPriority w:val="34"/>
    <w:pPr>
      <w:ind w:firstLine="420" w:firstLineChars="200"/>
    </w:pPr>
  </w:style>
  <w:style w:type="paragraph" w:customStyle="1" w:styleId="29">
    <w:name w:val="表格首行"/>
    <w:basedOn w:val="30"/>
    <w:qFormat/>
    <w:uiPriority w:val="0"/>
    <w:pPr>
      <w:adjustRightInd w:val="0"/>
      <w:snapToGrid w:val="0"/>
      <w:spacing w:line="240" w:lineRule="auto"/>
      <w:jc w:val="center"/>
    </w:pPr>
    <w:rPr>
      <w:rFonts w:ascii="Times New Roman" w:hAnsi="Times New Roman" w:eastAsia="宋体"/>
      <w:b/>
      <w:sz w:val="21"/>
    </w:rPr>
  </w:style>
  <w:style w:type="paragraph" w:customStyle="1" w:styleId="30">
    <w:name w:val="样式 样式 样式 首行缩进:  2 字符 + 首行缩进:  2 字符 + 首行缩进:  2 字符"/>
    <w:basedOn w:val="1"/>
    <w:qFormat/>
    <w:uiPriority w:val="0"/>
    <w:pPr>
      <w:spacing w:line="360" w:lineRule="auto"/>
    </w:pPr>
    <w:rPr>
      <w:rFonts w:ascii="Arial" w:hAnsi="Arial" w:eastAsia="新宋体" w:cs="宋体"/>
      <w:sz w:val="24"/>
      <w:szCs w:val="20"/>
    </w:rPr>
  </w:style>
  <w:style w:type="character" w:customStyle="1" w:styleId="31">
    <w:name w:val="font41"/>
    <w:basedOn w:val="17"/>
    <w:qFormat/>
    <w:uiPriority w:val="0"/>
    <w:rPr>
      <w:rFonts w:hint="eastAsia" w:ascii="宋体" w:hAnsi="宋体" w:eastAsia="宋体" w:cs="宋体"/>
      <w:color w:val="0070C0"/>
      <w:sz w:val="22"/>
      <w:szCs w:val="22"/>
      <w:u w:val="none"/>
    </w:rPr>
  </w:style>
  <w:style w:type="character" w:customStyle="1" w:styleId="32">
    <w:name w:val="font51"/>
    <w:basedOn w:val="17"/>
    <w:qFormat/>
    <w:uiPriority w:val="0"/>
    <w:rPr>
      <w:rFonts w:hint="default" w:ascii="Times New Roman" w:hAnsi="Times New Roman" w:cs="Times New Roman"/>
      <w:color w:val="0070C0"/>
      <w:sz w:val="22"/>
      <w:szCs w:val="22"/>
      <w:u w:val="none"/>
    </w:rPr>
  </w:style>
  <w:style w:type="character" w:customStyle="1" w:styleId="33">
    <w:name w:val="font11"/>
    <w:basedOn w:val="17"/>
    <w:qFormat/>
    <w:uiPriority w:val="0"/>
    <w:rPr>
      <w:rFonts w:ascii="Arial" w:hAnsi="Arial" w:cs="Arial"/>
      <w:color w:val="000000"/>
      <w:sz w:val="20"/>
      <w:szCs w:val="20"/>
      <w:u w:val="none"/>
    </w:rPr>
  </w:style>
  <w:style w:type="character" w:customStyle="1" w:styleId="34">
    <w:name w:val="标题 3 Char"/>
    <w:basedOn w:val="17"/>
    <w:link w:val="5"/>
    <w:qFormat/>
    <w:uiPriority w:val="0"/>
    <w:rPr>
      <w:rFonts w:ascii="Times New Roman" w:hAnsi="Times New Roman" w:eastAsia="仿宋_GB2312"/>
      <w:b/>
      <w:bCs/>
      <w:sz w:val="32"/>
      <w:szCs w:val="32"/>
    </w:rPr>
  </w:style>
  <w:style w:type="paragraph" w:customStyle="1" w:styleId="35">
    <w:name w:val="WPSOffice手动目录 1"/>
    <w:qFormat/>
    <w:uiPriority w:val="0"/>
    <w:pPr>
      <w:ind w:leftChars="0"/>
    </w:pPr>
    <w:rPr>
      <w:rFonts w:ascii="Calibri" w:hAnsi="Calibri" w:eastAsia="宋体" w:cs="Times New Roman"/>
      <w:sz w:val="20"/>
      <w:szCs w:val="20"/>
    </w:rPr>
  </w:style>
  <w:style w:type="paragraph" w:customStyle="1" w:styleId="36">
    <w:name w:val="WPSOffice手动目录 2"/>
    <w:qFormat/>
    <w:uiPriority w:val="0"/>
    <w:pPr>
      <w:ind w:leftChars="200"/>
    </w:pPr>
    <w:rPr>
      <w:rFonts w:ascii="Calibri" w:hAnsi="Calibri" w:eastAsia="宋体" w:cs="Times New Roman"/>
      <w:sz w:val="20"/>
      <w:szCs w:val="20"/>
    </w:rPr>
  </w:style>
  <w:style w:type="paragraph" w:customStyle="1" w:styleId="37">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55</Pages>
  <Words>94313</Words>
  <Characters>97134</Characters>
  <Lines>1</Lines>
  <Paragraphs>1</Paragraphs>
  <TotalTime>26</TotalTime>
  <ScaleCrop>false</ScaleCrop>
  <LinksUpToDate>false</LinksUpToDate>
  <CharactersWithSpaces>98017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2021-03-31T19:40:00Z</dcterms:created>
  <dc:creator>何玉霜</dc:creator>
  <cp:lastModifiedBy>蒙俊伶</cp:lastModifiedBy>
  <cp:lastPrinted>2021-12-09T03:34:00Z</cp:lastPrinted>
  <dcterms:modified xsi:type="dcterms:W3CDTF">2021-12-27T09:04:50Z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DEAF20F55F564AA881404D8691CE3DF8</vt:lpwstr>
  </property>
  <property fmtid="{D5CDD505-2E9C-101B-9397-08002B2CF9AE}" pid="4" name="KSOSaveFontToCloudKey">
    <vt:lpwstr>617621959_btnclosed</vt:lpwstr>
  </property>
</Properties>
</file>