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38"/>
        <w:ind w:firstLine="0" w:firstLineChars="0"/>
        <w:rPr>
          <w:rFonts w:hint="eastAsia" w:ascii="Times New Roman" w:hAnsi="Times New Roman" w:eastAsia="方正小标宋_GBK" w:cs="Times New Roman"/>
          <w:color w:val="auto"/>
          <w:highlight w:val="none"/>
          <w:lang w:eastAsia="zh-CN"/>
        </w:rPr>
      </w:pPr>
      <w:bookmarkStart w:id="144" w:name="_GoBack"/>
      <w:bookmarkEnd w:id="144"/>
      <w:r>
        <w:rPr>
          <w:rFonts w:hint="eastAsia" w:ascii="Times New Roman" w:hAnsi="Times New Roman" w:eastAsia="方正小标宋_GBK" w:cs="Times New Roman"/>
          <w:color w:val="auto"/>
          <w:highlight w:val="none"/>
          <w:lang w:eastAsia="zh-CN"/>
        </w:rPr>
        <w:t>柳州市</w:t>
      </w:r>
      <w:r>
        <w:rPr>
          <w:rFonts w:hint="default" w:ascii="Times New Roman" w:hAnsi="Times New Roman" w:eastAsia="方正小标宋_GBK" w:cs="Times New Roman"/>
          <w:color w:val="auto"/>
          <w:highlight w:val="none"/>
        </w:rPr>
        <w:t>农村生活污水治理</w:t>
      </w:r>
      <w:r>
        <w:rPr>
          <w:rFonts w:hint="eastAsia" w:ascii="Times New Roman" w:hAnsi="Times New Roman" w:eastAsia="方正小标宋_GBK" w:cs="Times New Roman"/>
          <w:color w:val="auto"/>
          <w:highlight w:val="none"/>
          <w:lang w:eastAsia="zh-CN"/>
        </w:rPr>
        <w:t>实施方案（</w:t>
      </w:r>
      <w:r>
        <w:rPr>
          <w:rFonts w:hint="eastAsia" w:ascii="Times New Roman" w:hAnsi="Times New Roman" w:eastAsia="方正小标宋_GBK" w:cs="Times New Roman"/>
          <w:color w:val="auto"/>
          <w:highlight w:val="none"/>
          <w:lang w:val="en-US" w:eastAsia="zh-CN"/>
        </w:rPr>
        <w:t>2022-2025年</w:t>
      </w:r>
      <w:r>
        <w:rPr>
          <w:rFonts w:hint="eastAsia" w:ascii="Times New Roman" w:hAnsi="Times New Roman" w:eastAsia="方正小标宋_GBK" w:cs="Times New Roman"/>
          <w:color w:val="auto"/>
          <w:highlight w:val="none"/>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ind w:right="23" w:firstLine="0" w:firstLineChars="0"/>
        <w:jc w:val="left"/>
        <w:textAlignment w:val="auto"/>
        <w:rPr>
          <w:rFonts w:hint="default" w:ascii="Times New Roman" w:hAnsi="Times New Roman" w:cs="Times New Roman"/>
          <w:color w:val="auto"/>
          <w:highlight w:val="none"/>
          <w:lang w:val="en-US" w:eastAsia="zh-CN"/>
        </w:rPr>
      </w:pPr>
      <w:bookmarkStart w:id="0" w:name="_Toc22643"/>
      <w:bookmarkStart w:id="1" w:name="_Toc7088"/>
      <w:bookmarkStart w:id="2" w:name="_Toc15888"/>
      <w:bookmarkStart w:id="3" w:name="_Toc23117"/>
      <w:bookmarkStart w:id="4" w:name="_Toc18631"/>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23" w:firstLine="640" w:firstLineChars="200"/>
        <w:jc w:val="left"/>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为深入贯彻落实《自治区生态环境厅 自治区住房城乡建设厅自治区农业农村厅关于印发〈广西农村生活污水治理“十四五”规划〉的通知》（桂环发〔2022〕8号）精神，结合柳州实际，制定本实施方案。</w:t>
      </w:r>
    </w:p>
    <w:bookmarkEnd w:id="0"/>
    <w:bookmarkEnd w:id="1"/>
    <w:bookmarkEnd w:id="2"/>
    <w:bookmarkEnd w:id="3"/>
    <w:bookmarkEnd w:id="4"/>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23" w:firstLine="640" w:firstLineChars="200"/>
        <w:jc w:val="left"/>
        <w:textAlignment w:val="auto"/>
        <w:rPr>
          <w:rFonts w:hint="eastAsia" w:ascii="黑体" w:hAnsi="黑体" w:eastAsia="黑体" w:cs="黑体"/>
          <w:b w:val="0"/>
          <w:bCs/>
          <w:color w:val="auto"/>
          <w:highlight w:val="none"/>
          <w:lang w:val="en-US" w:eastAsia="zh-CN"/>
        </w:rPr>
      </w:pPr>
      <w:bookmarkStart w:id="5" w:name="_Toc25862"/>
      <w:bookmarkStart w:id="6" w:name="_Toc12122"/>
      <w:bookmarkStart w:id="7" w:name="_Toc2399"/>
      <w:bookmarkStart w:id="8" w:name="_Toc16825"/>
      <w:bookmarkStart w:id="9" w:name="_Toc27514_WPSOffice_Level1"/>
      <w:bookmarkStart w:id="10" w:name="_Toc26572"/>
      <w:bookmarkStart w:id="11" w:name="_Toc30414"/>
      <w:bookmarkStart w:id="12" w:name="_Toc31830"/>
      <w:r>
        <w:rPr>
          <w:rFonts w:hint="eastAsia" w:ascii="黑体" w:hAnsi="黑体" w:eastAsia="黑体" w:cs="黑体"/>
          <w:b w:val="0"/>
          <w:bCs/>
          <w:color w:val="auto"/>
          <w:highlight w:val="none"/>
          <w:lang w:val="en-US" w:eastAsia="zh-CN"/>
        </w:rPr>
        <w:t>一、总体要求</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23" w:firstLine="640" w:firstLineChars="200"/>
        <w:jc w:val="left"/>
        <w:textAlignment w:val="auto"/>
        <w:rPr>
          <w:rFonts w:hint="eastAsia" w:ascii="仿宋_GB2312" w:hAnsi="仿宋_GB2312" w:eastAsia="仿宋_GB2312" w:cs="仿宋_GB2312"/>
          <w:color w:val="auto"/>
          <w:highlight w:val="none"/>
          <w:lang w:val="en-US" w:eastAsia="zh-CN"/>
        </w:rPr>
      </w:pPr>
      <w:r>
        <w:rPr>
          <w:rFonts w:hint="eastAsia" w:ascii="楷体_GB2312" w:hAnsi="楷体_GB2312" w:eastAsia="楷体_GB2312" w:cs="楷体_GB2312"/>
          <w:b w:val="0"/>
          <w:bCs/>
          <w:color w:val="auto"/>
          <w:highlight w:val="none"/>
          <w:lang w:val="en-US" w:eastAsia="zh-CN"/>
        </w:rPr>
        <w:t>（一）指导思想</w:t>
      </w:r>
      <w:bookmarkEnd w:id="5"/>
      <w:bookmarkEnd w:id="6"/>
      <w:bookmarkEnd w:id="7"/>
      <w:bookmarkEnd w:id="8"/>
      <w:bookmarkEnd w:id="9"/>
      <w:bookmarkEnd w:id="10"/>
      <w:bookmarkEnd w:id="11"/>
      <w:bookmarkEnd w:id="12"/>
    </w:p>
    <w:p>
      <w:pPr>
        <w:bidi w:val="0"/>
        <w:spacing w:line="54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以习近平新时代中国特色社会主义思想为指导，全面贯彻党的十九大和十九届</w:t>
      </w:r>
      <w:r>
        <w:rPr>
          <w:rFonts w:hint="eastAsia" w:ascii="仿宋_GB2312" w:hAnsi="仿宋_GB2312" w:eastAsia="仿宋_GB2312" w:cs="仿宋_GB2312"/>
          <w:color w:val="auto"/>
          <w:highlight w:val="none"/>
          <w:lang w:eastAsia="zh-CN"/>
        </w:rPr>
        <w:t>历次</w:t>
      </w:r>
      <w:r>
        <w:rPr>
          <w:rFonts w:hint="eastAsia" w:ascii="仿宋_GB2312" w:hAnsi="仿宋_GB2312" w:eastAsia="仿宋_GB2312" w:cs="仿宋_GB2312"/>
          <w:color w:val="auto"/>
          <w:highlight w:val="none"/>
        </w:rPr>
        <w:t>全会精神，深入贯彻习近平总书记</w:t>
      </w:r>
      <w:r>
        <w:rPr>
          <w:rFonts w:hint="eastAsia" w:ascii="仿宋_GB2312" w:hAnsi="仿宋_GB2312" w:eastAsia="仿宋_GB2312" w:cs="仿宋_GB2312"/>
          <w:color w:val="auto"/>
          <w:highlight w:val="none"/>
          <w:lang w:eastAsia="zh-CN"/>
        </w:rPr>
        <w:t>视察</w:t>
      </w:r>
      <w:r>
        <w:rPr>
          <w:rFonts w:hint="eastAsia" w:ascii="仿宋_GB2312" w:hAnsi="仿宋_GB2312" w:eastAsia="仿宋_GB2312" w:cs="仿宋_GB2312"/>
          <w:color w:val="auto"/>
          <w:highlight w:val="none"/>
        </w:rPr>
        <w:t>广西的重要指示精神，按照</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因地制宜、尊重习惯，应治尽治、利用为先，就地就近、生态循环，梯次推进、建管并重，发动农户、效果长远</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的基本思路，牢固树立和贯彻新发展理念，按照实施乡村振兴战略的总体要求，立足</w:t>
      </w:r>
      <w:r>
        <w:rPr>
          <w:rFonts w:hint="eastAsia" w:ascii="仿宋_GB2312" w:hAnsi="仿宋_GB2312" w:eastAsia="仿宋_GB2312" w:cs="仿宋_GB2312"/>
          <w:color w:val="auto"/>
          <w:highlight w:val="none"/>
          <w:lang w:eastAsia="zh-CN"/>
        </w:rPr>
        <w:t>我市</w:t>
      </w:r>
      <w:r>
        <w:rPr>
          <w:rFonts w:hint="eastAsia" w:ascii="仿宋_GB2312" w:hAnsi="仿宋_GB2312" w:eastAsia="仿宋_GB2312" w:cs="仿宋_GB2312"/>
          <w:color w:val="auto"/>
          <w:highlight w:val="none"/>
        </w:rPr>
        <w:t>农村实际，以污水减量化、分类就地处理、循环利用为导向，统筹农村生活污水和农村黑臭水体治理，突出重点区域，选择适宜模式，强化管护机制，</w:t>
      </w:r>
      <w:r>
        <w:rPr>
          <w:rFonts w:hint="eastAsia" w:ascii="仿宋_GB2312" w:hAnsi="仿宋_GB2312" w:eastAsia="仿宋_GB2312" w:cs="仿宋_GB2312"/>
          <w:color w:val="auto"/>
          <w:highlight w:val="none"/>
          <w:lang w:val="en-US" w:eastAsia="zh-CN"/>
        </w:rPr>
        <w:t>衔接村庄规划，</w:t>
      </w:r>
      <w:r>
        <w:rPr>
          <w:rFonts w:hint="eastAsia" w:ascii="仿宋_GB2312" w:hAnsi="仿宋_GB2312" w:eastAsia="仿宋_GB2312" w:cs="仿宋_GB2312"/>
          <w:color w:val="auto"/>
          <w:highlight w:val="none"/>
        </w:rPr>
        <w:t>加快建设美丽宜居乡村。</w:t>
      </w:r>
    </w:p>
    <w:p>
      <w:pPr>
        <w:pStyle w:val="6"/>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楷体_GB2312" w:hAnsi="楷体_GB2312" w:eastAsia="楷体_GB2312" w:cs="楷体_GB2312"/>
          <w:b w:val="0"/>
          <w:bCs/>
          <w:color w:val="auto"/>
          <w:szCs w:val="36"/>
          <w:highlight w:val="none"/>
        </w:rPr>
      </w:pPr>
      <w:bookmarkStart w:id="13" w:name="_Toc11272"/>
      <w:bookmarkStart w:id="14" w:name="_Toc22722"/>
      <w:bookmarkStart w:id="15" w:name="_Toc14419"/>
      <w:bookmarkStart w:id="16" w:name="_Toc31152_WPSOffice_Level2"/>
      <w:bookmarkStart w:id="17" w:name="_Toc2461"/>
      <w:bookmarkStart w:id="18" w:name="_Toc4689"/>
      <w:bookmarkStart w:id="19" w:name="_Toc27772"/>
      <w:bookmarkStart w:id="20" w:name="_Toc26721"/>
      <w:r>
        <w:rPr>
          <w:rFonts w:hint="eastAsia" w:ascii="楷体_GB2312" w:hAnsi="楷体_GB2312" w:eastAsia="楷体_GB2312" w:cs="楷体_GB2312"/>
          <w:b w:val="0"/>
          <w:bCs/>
          <w:color w:val="auto"/>
          <w:szCs w:val="36"/>
          <w:highlight w:val="none"/>
          <w:lang w:eastAsia="zh-CN"/>
        </w:rPr>
        <w:t>（二）</w:t>
      </w:r>
      <w:r>
        <w:rPr>
          <w:rFonts w:hint="eastAsia" w:ascii="楷体_GB2312" w:hAnsi="楷体_GB2312" w:eastAsia="楷体_GB2312" w:cs="楷体_GB2312"/>
          <w:b w:val="0"/>
          <w:bCs/>
          <w:color w:val="auto"/>
          <w:szCs w:val="36"/>
          <w:highlight w:val="none"/>
        </w:rPr>
        <w:t>基本原则</w:t>
      </w:r>
      <w:bookmarkEnd w:id="13"/>
      <w:bookmarkEnd w:id="14"/>
      <w:bookmarkEnd w:id="15"/>
      <w:bookmarkEnd w:id="16"/>
      <w:bookmarkEnd w:id="17"/>
      <w:bookmarkEnd w:id="18"/>
      <w:bookmarkEnd w:id="19"/>
      <w:bookmarkEnd w:id="20"/>
    </w:p>
    <w:p>
      <w:pPr>
        <w:widowControl/>
        <w:bidi w:val="0"/>
        <w:spacing w:line="540" w:lineRule="exact"/>
        <w:ind w:firstLine="643"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lang w:val="en-US" w:eastAsia="zh-CN"/>
        </w:rPr>
        <w:t>突出重点</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i w:val="0"/>
          <w:caps w:val="0"/>
          <w:color w:val="auto"/>
          <w:spacing w:val="0"/>
          <w:kern w:val="0"/>
          <w:sz w:val="32"/>
          <w:szCs w:val="22"/>
          <w:highlight w:val="none"/>
          <w:lang w:val="en-US" w:eastAsia="zh-CN" w:bidi="ar"/>
        </w:rPr>
        <w:t>梯次推进</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color w:val="auto"/>
          <w:highlight w:val="none"/>
        </w:rPr>
        <w:t>坚持短期目标和长远打算相结合，合理确定农村生活污水和农村黑臭水体治理目标任务和建设时序</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先点后面，通过试点示范不断探索、积累经验，带动整体提升。</w:t>
      </w:r>
    </w:p>
    <w:p>
      <w:pPr>
        <w:keepNext w:val="0"/>
        <w:keepLines w:val="0"/>
        <w:widowControl/>
        <w:suppressLineNumbers w:val="0"/>
        <w:spacing w:line="540" w:lineRule="exact"/>
        <w:jc w:val="left"/>
        <w:rPr>
          <w:rFonts w:hint="eastAsia" w:ascii="仿宋_GB2312" w:hAnsi="仿宋_GB2312" w:eastAsia="仿宋_GB2312" w:cs="仿宋_GB2312"/>
        </w:rPr>
      </w:pPr>
      <w:r>
        <w:rPr>
          <w:rFonts w:hint="eastAsia" w:ascii="仿宋_GB2312" w:hAnsi="仿宋_GB2312" w:eastAsia="仿宋_GB2312" w:cs="仿宋_GB2312"/>
          <w:b/>
          <w:bCs/>
          <w:color w:val="auto"/>
          <w:highlight w:val="none"/>
        </w:rPr>
        <w:t>因地制宜，分类</w:t>
      </w:r>
      <w:r>
        <w:rPr>
          <w:rFonts w:hint="eastAsia" w:ascii="仿宋_GB2312" w:hAnsi="仿宋_GB2312" w:eastAsia="仿宋_GB2312" w:cs="仿宋_GB2312"/>
          <w:b/>
          <w:bCs/>
          <w:color w:val="auto"/>
          <w:highlight w:val="none"/>
          <w:lang w:eastAsia="zh-CN"/>
        </w:rPr>
        <w:t>施策。</w:t>
      </w:r>
      <w:r>
        <w:rPr>
          <w:rFonts w:hint="eastAsia" w:ascii="仿宋_GB2312" w:hAnsi="仿宋_GB2312" w:eastAsia="仿宋_GB2312" w:cs="仿宋_GB2312"/>
          <w:b w:val="0"/>
          <w:bCs w:val="0"/>
          <w:color w:val="auto"/>
          <w:highlight w:val="none"/>
        </w:rPr>
        <w:t>坚持从实际出发，综合考虑村庄布局、人口规模、环境状况、自然条件、经济水平等因素，科学确定</w:t>
      </w:r>
      <w:r>
        <w:rPr>
          <w:rFonts w:hint="eastAsia" w:ascii="仿宋_GB2312" w:hAnsi="仿宋_GB2312" w:eastAsia="仿宋_GB2312" w:cs="仿宋_GB2312"/>
          <w:b w:val="0"/>
          <w:bCs w:val="0"/>
          <w:color w:val="auto"/>
          <w:highlight w:val="none"/>
          <w:lang w:eastAsia="zh-CN"/>
        </w:rPr>
        <w:t>各地</w:t>
      </w:r>
      <w:r>
        <w:rPr>
          <w:rFonts w:hint="eastAsia" w:ascii="仿宋_GB2312" w:hAnsi="仿宋_GB2312" w:eastAsia="仿宋_GB2312" w:cs="仿宋_GB2312"/>
          <w:b w:val="0"/>
          <w:bCs w:val="0"/>
          <w:color w:val="auto"/>
          <w:highlight w:val="none"/>
        </w:rPr>
        <w:t>农村生活污水治理模式，实行黑水、灰水分类治理和综合整治。</w:t>
      </w:r>
      <w:r>
        <w:rPr>
          <w:rFonts w:hint="eastAsia" w:ascii="仿宋_GB2312" w:hAnsi="仿宋_GB2312" w:eastAsia="仿宋_GB2312" w:cs="仿宋_GB2312"/>
          <w:i w:val="0"/>
          <w:caps w:val="0"/>
          <w:color w:val="auto"/>
          <w:spacing w:val="0"/>
          <w:kern w:val="0"/>
          <w:sz w:val="32"/>
          <w:szCs w:val="22"/>
          <w:highlight w:val="none"/>
          <w:lang w:val="en-US" w:eastAsia="zh-CN" w:bidi="ar"/>
        </w:rPr>
        <w:t>位于城镇周边的村庄，优先采用纳入城镇污水处理系统的模式进行治理；</w:t>
      </w:r>
      <w:r>
        <w:rPr>
          <w:rFonts w:hint="eastAsia" w:ascii="仿宋_GB2312" w:hAnsi="仿宋_GB2312" w:eastAsia="仿宋_GB2312" w:cs="仿宋_GB2312"/>
          <w:b w:val="0"/>
          <w:bCs w:val="0"/>
          <w:color w:val="auto"/>
          <w:highlight w:val="none"/>
        </w:rPr>
        <w:t>条件允许或环境敏感区、污染严重区等对污水排放有严格要求的地区，可以采用建设污水处理设施的方法确保达标排放</w:t>
      </w:r>
      <w:r>
        <w:rPr>
          <w:rFonts w:hint="eastAsia" w:ascii="仿宋_GB2312" w:hAnsi="仿宋_GB2312" w:eastAsia="仿宋_GB2312" w:cs="仿宋_GB2312"/>
          <w:i w:val="0"/>
          <w:caps w:val="0"/>
          <w:color w:val="auto"/>
          <w:spacing w:val="0"/>
          <w:kern w:val="0"/>
          <w:sz w:val="32"/>
          <w:szCs w:val="22"/>
          <w:highlight w:val="none"/>
          <w:lang w:val="en-US" w:eastAsia="zh-CN" w:bidi="ar"/>
        </w:rPr>
        <w:t>；</w:t>
      </w:r>
      <w:r>
        <w:rPr>
          <w:rFonts w:hint="eastAsia" w:ascii="仿宋_GB2312" w:hAnsi="仿宋_GB2312" w:eastAsia="仿宋_GB2312" w:cs="仿宋_GB2312"/>
          <w:b w:val="0"/>
          <w:bCs w:val="0"/>
          <w:color w:val="auto"/>
          <w:highlight w:val="none"/>
        </w:rPr>
        <w:t>其他地方要充分借助地理自然条件、环境消纳能力，选择简单实用、成本适中、技术成熟、群众乐于接受的模式，紧密结合农村改厕工作进行有效治理。</w:t>
      </w:r>
    </w:p>
    <w:p>
      <w:pPr>
        <w:bidi w:val="0"/>
        <w:spacing w:line="540" w:lineRule="exact"/>
        <w:ind w:firstLine="643"/>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highlight w:val="none"/>
        </w:rPr>
        <w:t>生态优先，循环利用</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val="0"/>
          <w:bCs w:val="0"/>
          <w:color w:val="auto"/>
          <w:highlight w:val="none"/>
        </w:rPr>
        <w:t>结合农田灌溉回用、生态保护修复、环境景观建设等，推进水资源循环利用，实现农村生活污水治理与生态农业发展、农村生态文明建设有机衔接。</w:t>
      </w:r>
    </w:p>
    <w:p>
      <w:pPr>
        <w:keepNext w:val="0"/>
        <w:keepLines w:val="0"/>
        <w:widowControl/>
        <w:suppressLineNumbers w:val="0"/>
        <w:spacing w:line="540" w:lineRule="exact"/>
        <w:jc w:val="left"/>
        <w:rPr>
          <w:rFonts w:hint="eastAsia" w:ascii="仿宋_GB2312" w:hAnsi="仿宋_GB2312" w:eastAsia="仿宋_GB2312" w:cs="仿宋_GB2312"/>
        </w:rPr>
      </w:pPr>
      <w:r>
        <w:rPr>
          <w:rFonts w:hint="eastAsia" w:ascii="仿宋_GB2312" w:hAnsi="仿宋_GB2312" w:eastAsia="仿宋_GB2312" w:cs="仿宋_GB2312"/>
          <w:b/>
          <w:bCs/>
          <w:color w:val="auto"/>
          <w:highlight w:val="none"/>
        </w:rPr>
        <w:t>完善机制</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长效运行</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val="0"/>
          <w:bCs w:val="0"/>
          <w:color w:val="auto"/>
          <w:highlight w:val="none"/>
        </w:rPr>
        <w:t>坚持建设与运维并重，</w:t>
      </w:r>
      <w:r>
        <w:rPr>
          <w:rFonts w:hint="eastAsia" w:ascii="仿宋_GB2312" w:hAnsi="仿宋_GB2312" w:eastAsia="仿宋_GB2312" w:cs="仿宋_GB2312"/>
          <w:b w:val="0"/>
          <w:bCs w:val="0"/>
          <w:color w:val="auto"/>
          <w:highlight w:val="none"/>
          <w:lang w:val="en-US" w:eastAsia="zh-CN"/>
        </w:rPr>
        <w:t>完善</w:t>
      </w:r>
      <w:r>
        <w:rPr>
          <w:rFonts w:hint="eastAsia" w:ascii="仿宋_GB2312" w:hAnsi="仿宋_GB2312" w:eastAsia="仿宋_GB2312" w:cs="仿宋_GB2312"/>
          <w:b w:val="0"/>
          <w:bCs w:val="0"/>
          <w:color w:val="auto"/>
          <w:highlight w:val="none"/>
        </w:rPr>
        <w:t>农村生活污水处理设施规模化、专业化、社会化的运营机制，确保设施建设一个、运行一个、见效一个，最大化发挥农村生活污水治理设施功能，确保农村生活污水处理率与达标率提升，使农村生态环境有明显改善。</w:t>
      </w:r>
    </w:p>
    <w:p>
      <w:pPr>
        <w:pStyle w:val="6"/>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楷体_GB2312" w:hAnsi="楷体_GB2312" w:eastAsia="楷体_GB2312" w:cs="楷体_GB2312"/>
          <w:b w:val="0"/>
          <w:bCs/>
          <w:color w:val="auto"/>
          <w:szCs w:val="36"/>
          <w:highlight w:val="none"/>
        </w:rPr>
      </w:pPr>
      <w:bookmarkStart w:id="21" w:name="_Toc9426"/>
      <w:bookmarkStart w:id="22" w:name="_Toc26173"/>
      <w:bookmarkStart w:id="23" w:name="_Toc3724"/>
      <w:bookmarkStart w:id="24" w:name="_Toc16790_WPSOffice_Level2"/>
      <w:bookmarkStart w:id="25" w:name="_Toc15412"/>
      <w:bookmarkStart w:id="26" w:name="_Toc13749"/>
      <w:bookmarkStart w:id="27" w:name="_Toc27171"/>
      <w:bookmarkStart w:id="28" w:name="_Toc724"/>
      <w:r>
        <w:rPr>
          <w:rFonts w:hint="eastAsia" w:ascii="楷体_GB2312" w:hAnsi="楷体_GB2312" w:eastAsia="楷体_GB2312" w:cs="楷体_GB2312"/>
          <w:b w:val="0"/>
          <w:bCs/>
          <w:color w:val="auto"/>
          <w:szCs w:val="36"/>
          <w:highlight w:val="none"/>
          <w:lang w:eastAsia="zh-CN"/>
        </w:rPr>
        <w:t>（三）工作</w:t>
      </w:r>
      <w:r>
        <w:rPr>
          <w:rFonts w:hint="eastAsia" w:ascii="楷体_GB2312" w:hAnsi="楷体_GB2312" w:eastAsia="楷体_GB2312" w:cs="楷体_GB2312"/>
          <w:b w:val="0"/>
          <w:bCs/>
          <w:color w:val="auto"/>
          <w:szCs w:val="36"/>
          <w:highlight w:val="none"/>
        </w:rPr>
        <w:t>目标</w:t>
      </w:r>
      <w:bookmarkEnd w:id="21"/>
      <w:bookmarkEnd w:id="22"/>
      <w:bookmarkEnd w:id="23"/>
      <w:bookmarkEnd w:id="24"/>
      <w:bookmarkEnd w:id="25"/>
      <w:bookmarkEnd w:id="26"/>
      <w:bookmarkEnd w:id="27"/>
      <w:bookmarkEnd w:id="28"/>
    </w:p>
    <w:p>
      <w:pPr>
        <w:bidi w:val="0"/>
        <w:spacing w:line="540" w:lineRule="exact"/>
        <w:rPr>
          <w:rFonts w:hint="eastAsia" w:ascii="仿宋_GB2312" w:hAnsi="仿宋_GB2312" w:eastAsia="仿宋_GB2312" w:cs="仿宋_GB2312"/>
          <w:color w:val="auto"/>
          <w:kern w:val="2"/>
          <w:szCs w:val="20"/>
          <w:highlight w:val="none"/>
          <w:u w:val="none"/>
          <w:lang w:eastAsia="zh-CN"/>
        </w:rPr>
      </w:pPr>
      <w:r>
        <w:rPr>
          <w:rFonts w:hint="eastAsia" w:ascii="仿宋_GB2312" w:hAnsi="仿宋_GB2312" w:eastAsia="仿宋_GB2312" w:cs="仿宋_GB2312"/>
          <w:color w:val="auto"/>
          <w:highlight w:val="none"/>
          <w:u w:val="none"/>
        </w:rPr>
        <w:t>到2025年，全</w:t>
      </w:r>
      <w:r>
        <w:rPr>
          <w:rFonts w:hint="eastAsia" w:ascii="仿宋_GB2312" w:hAnsi="仿宋_GB2312" w:eastAsia="仿宋_GB2312" w:cs="仿宋_GB2312"/>
          <w:color w:val="auto"/>
          <w:highlight w:val="none"/>
          <w:u w:val="none"/>
          <w:lang w:eastAsia="zh-CN"/>
        </w:rPr>
        <w:t>市</w:t>
      </w:r>
      <w:r>
        <w:rPr>
          <w:rFonts w:hint="eastAsia" w:ascii="仿宋_GB2312" w:hAnsi="仿宋_GB2312" w:eastAsia="仿宋_GB2312" w:cs="仿宋_GB2312"/>
          <w:color w:val="auto"/>
          <w:highlight w:val="none"/>
          <w:u w:val="none"/>
        </w:rPr>
        <w:t>农村生活污水治理率</w:t>
      </w:r>
      <w:r>
        <w:rPr>
          <w:rFonts w:hint="eastAsia" w:ascii="仿宋_GB2312" w:hAnsi="仿宋_GB2312" w:eastAsia="仿宋_GB2312" w:cs="仿宋_GB2312"/>
          <w:color w:val="auto"/>
          <w:highlight w:val="none"/>
          <w:u w:val="none"/>
          <w:lang w:eastAsia="zh-CN"/>
        </w:rPr>
        <w:t>力争达到</w:t>
      </w:r>
      <w:r>
        <w:rPr>
          <w:rFonts w:hint="eastAsia" w:ascii="仿宋_GB2312" w:hAnsi="仿宋_GB2312" w:eastAsia="仿宋_GB2312" w:cs="仿宋_GB2312"/>
          <w:color w:val="auto"/>
          <w:highlight w:val="none"/>
          <w:u w:val="none"/>
          <w:lang w:val="en-US" w:eastAsia="zh-CN"/>
        </w:rPr>
        <w:t>38.9%以上，</w:t>
      </w:r>
      <w:r>
        <w:rPr>
          <w:rFonts w:hint="eastAsia" w:ascii="仿宋_GB2312" w:hAnsi="仿宋_GB2312" w:eastAsia="仿宋_GB2312" w:cs="仿宋_GB2312"/>
          <w:color w:val="auto"/>
          <w:sz w:val="32"/>
          <w:szCs w:val="32"/>
          <w:highlight w:val="none"/>
          <w:u w:val="none"/>
          <w:lang w:eastAsia="zh-CN"/>
        </w:rPr>
        <w:t>基本消除较大面积的农村黑臭水体</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其中列入国家</w:t>
      </w:r>
      <w:r>
        <w:rPr>
          <w:rFonts w:hint="eastAsia" w:ascii="仿宋_GB2312" w:hAnsi="仿宋_GB2312" w:eastAsia="仿宋_GB2312" w:cs="仿宋_GB2312"/>
          <w:color w:val="auto"/>
          <w:highlight w:val="none"/>
          <w:u w:val="none"/>
          <w:lang w:eastAsia="zh-CN"/>
        </w:rPr>
        <w:t>监管</w:t>
      </w:r>
      <w:r>
        <w:rPr>
          <w:rFonts w:hint="eastAsia" w:ascii="仿宋_GB2312" w:hAnsi="仿宋_GB2312" w:eastAsia="仿宋_GB2312" w:cs="仿宋_GB2312"/>
          <w:color w:val="auto"/>
          <w:highlight w:val="none"/>
          <w:u w:val="none"/>
        </w:rPr>
        <w:t>的农村黑臭水体治理</w:t>
      </w:r>
      <w:r>
        <w:rPr>
          <w:rFonts w:hint="eastAsia" w:ascii="仿宋_GB2312" w:hAnsi="仿宋_GB2312" w:eastAsia="仿宋_GB2312" w:cs="仿宋_GB2312"/>
          <w:color w:val="auto"/>
          <w:highlight w:val="none"/>
          <w:u w:val="none"/>
          <w:lang w:eastAsia="zh-CN"/>
        </w:rPr>
        <w:t>率达到</w:t>
      </w:r>
      <w:r>
        <w:rPr>
          <w:rFonts w:hint="eastAsia" w:ascii="仿宋_GB2312" w:hAnsi="仿宋_GB2312" w:eastAsia="仿宋_GB2312" w:cs="仿宋_GB2312"/>
          <w:color w:val="auto"/>
          <w:highlight w:val="none"/>
          <w:u w:val="none"/>
        </w:rPr>
        <w:t>100%</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lang w:val="en-US" w:eastAsia="zh-CN"/>
        </w:rPr>
        <w:t>，</w:t>
      </w:r>
      <w:r>
        <w:rPr>
          <w:rFonts w:hint="eastAsia" w:ascii="仿宋_GB2312" w:hAnsi="仿宋_GB2312" w:eastAsia="仿宋_GB2312" w:cs="仿宋_GB2312"/>
          <w:color w:val="auto"/>
          <w:kern w:val="2"/>
          <w:szCs w:val="20"/>
          <w:highlight w:val="none"/>
          <w:u w:val="none"/>
        </w:rPr>
        <w:t>已建成的农村生活污水处理设施</w:t>
      </w:r>
      <w:r>
        <w:rPr>
          <w:rFonts w:hint="eastAsia" w:ascii="仿宋_GB2312" w:hAnsi="仿宋_GB2312" w:eastAsia="仿宋_GB2312" w:cs="仿宋_GB2312"/>
          <w:color w:val="auto"/>
          <w:kern w:val="2"/>
          <w:szCs w:val="20"/>
          <w:highlight w:val="none"/>
          <w:u w:val="none"/>
          <w:lang w:val="en-US" w:eastAsia="zh-CN"/>
        </w:rPr>
        <w:t>正常</w:t>
      </w:r>
      <w:r>
        <w:rPr>
          <w:rFonts w:hint="eastAsia" w:ascii="仿宋_GB2312" w:hAnsi="仿宋_GB2312" w:eastAsia="仿宋_GB2312" w:cs="仿宋_GB2312"/>
          <w:color w:val="auto"/>
          <w:kern w:val="2"/>
          <w:szCs w:val="20"/>
          <w:highlight w:val="none"/>
          <w:u w:val="none"/>
        </w:rPr>
        <w:t>运行</w:t>
      </w:r>
      <w:r>
        <w:rPr>
          <w:rFonts w:hint="eastAsia" w:ascii="仿宋_GB2312" w:hAnsi="仿宋_GB2312" w:eastAsia="仿宋_GB2312" w:cs="仿宋_GB2312"/>
          <w:color w:val="auto"/>
          <w:kern w:val="2"/>
          <w:szCs w:val="20"/>
          <w:highlight w:val="none"/>
          <w:u w:val="none"/>
          <w:lang w:eastAsia="zh-CN"/>
        </w:rPr>
        <w:t>。</w:t>
      </w:r>
    </w:p>
    <w:p>
      <w:pPr>
        <w:spacing w:line="540" w:lineRule="exact"/>
        <w:rPr>
          <w:rFonts w:hint="eastAsia" w:ascii="仿宋_GB2312" w:hAnsi="仿宋_GB2312" w:eastAsia="仿宋_GB2312" w:cs="仿宋_GB2312"/>
          <w:color w:val="auto"/>
          <w:kern w:val="2"/>
          <w:sz w:val="32"/>
          <w:szCs w:val="20"/>
          <w:highlight w:val="none"/>
          <w:u w:val="none"/>
          <w:lang w:val="en" w:eastAsia="zh-CN"/>
        </w:rPr>
      </w:pPr>
      <w:r>
        <w:rPr>
          <w:rFonts w:hint="eastAsia" w:ascii="仿宋_GB2312" w:hAnsi="仿宋_GB2312" w:eastAsia="仿宋_GB2312" w:cs="仿宋_GB2312"/>
          <w:b w:val="0"/>
          <w:bCs w:val="0"/>
          <w:color w:val="auto"/>
          <w:kern w:val="2"/>
          <w:sz w:val="32"/>
          <w:szCs w:val="20"/>
          <w:highlight w:val="none"/>
          <w:u w:val="none"/>
          <w:lang w:val="en-US" w:eastAsia="zh-CN" w:bidi="ar-SA"/>
        </w:rPr>
        <w:t xml:space="preserve"> 2022年10月底前，制定</w:t>
      </w:r>
      <w:r>
        <w:rPr>
          <w:rFonts w:hint="eastAsia" w:ascii="仿宋_GB2312" w:hAnsi="仿宋_GB2312" w:eastAsia="仿宋_GB2312" w:cs="仿宋_GB2312"/>
          <w:color w:val="auto"/>
          <w:kern w:val="2"/>
          <w:sz w:val="32"/>
          <w:szCs w:val="20"/>
          <w:highlight w:val="none"/>
          <w:u w:val="none"/>
          <w:lang w:val="en" w:eastAsia="zh-CN"/>
        </w:rPr>
        <w:t>柳州市农村生活污水治理实施方案(</w:t>
      </w:r>
      <w:r>
        <w:rPr>
          <w:rFonts w:hint="eastAsia" w:ascii="仿宋_GB2312" w:hAnsi="仿宋_GB2312" w:eastAsia="仿宋_GB2312" w:cs="仿宋_GB2312"/>
          <w:b w:val="0"/>
          <w:bCs w:val="0"/>
          <w:color w:val="auto"/>
          <w:kern w:val="2"/>
          <w:sz w:val="32"/>
          <w:szCs w:val="20"/>
          <w:highlight w:val="none"/>
          <w:u w:val="none"/>
          <w:lang w:val="en" w:eastAsia="zh-CN" w:bidi="ar-SA"/>
        </w:rPr>
        <w:t>2022-2025</w:t>
      </w:r>
      <w:r>
        <w:rPr>
          <w:rFonts w:hint="eastAsia" w:ascii="仿宋_GB2312" w:hAnsi="仿宋_GB2312" w:eastAsia="仿宋_GB2312" w:cs="仿宋_GB2312"/>
          <w:color w:val="auto"/>
          <w:kern w:val="2"/>
          <w:sz w:val="32"/>
          <w:szCs w:val="20"/>
          <w:highlight w:val="none"/>
          <w:u w:val="none"/>
          <w:lang w:val="en" w:eastAsia="zh-CN"/>
        </w:rPr>
        <w:t>年)，明确工作目标任务、主要内容和工作要求，压实各级各部门工作责任。</w:t>
      </w:r>
    </w:p>
    <w:p>
      <w:pPr>
        <w:spacing w:line="540" w:lineRule="exact"/>
        <w:rPr>
          <w:rFonts w:hint="eastAsia" w:ascii="仿宋_GB2312" w:hAnsi="仿宋_GB2312" w:eastAsia="仿宋_GB2312" w:cs="仿宋_GB2312"/>
          <w:b w:val="0"/>
          <w:bCs w:val="0"/>
          <w:color w:val="auto"/>
          <w:kern w:val="2"/>
          <w:sz w:val="32"/>
          <w:szCs w:val="20"/>
          <w:highlight w:val="none"/>
          <w:u w:val="none"/>
          <w:lang w:val="en-US" w:eastAsia="zh-CN" w:bidi="ar-SA"/>
        </w:rPr>
      </w:pPr>
      <w:r>
        <w:rPr>
          <w:rFonts w:hint="eastAsia" w:ascii="仿宋_GB2312" w:hAnsi="仿宋_GB2312" w:eastAsia="仿宋_GB2312" w:cs="仿宋_GB2312"/>
          <w:b w:val="0"/>
          <w:bCs w:val="0"/>
          <w:color w:val="auto"/>
          <w:kern w:val="2"/>
          <w:sz w:val="32"/>
          <w:szCs w:val="20"/>
          <w:highlight w:val="none"/>
          <w:u w:val="none"/>
          <w:lang w:val="en-US" w:eastAsia="zh-CN" w:bidi="ar-SA"/>
        </w:rPr>
        <w:t>2022年至2024年，</w:t>
      </w:r>
      <w:r>
        <w:rPr>
          <w:rFonts w:hint="eastAsia" w:ascii="仿宋_GB2312" w:hAnsi="仿宋_GB2312" w:eastAsia="仿宋_GB2312" w:cs="仿宋_GB2312"/>
          <w:color w:val="auto"/>
          <w:kern w:val="2"/>
          <w:sz w:val="32"/>
          <w:szCs w:val="20"/>
          <w:highlight w:val="none"/>
          <w:u w:val="none"/>
          <w:lang w:val="en" w:eastAsia="zh-CN"/>
        </w:rPr>
        <w:t>各县区政府、新区管委会按年度</w:t>
      </w:r>
      <w:r>
        <w:rPr>
          <w:rFonts w:hint="eastAsia" w:ascii="仿宋_GB2312" w:hAnsi="仿宋_GB2312" w:eastAsia="仿宋_GB2312" w:cs="仿宋_GB2312"/>
          <w:b w:val="0"/>
          <w:bCs w:val="0"/>
          <w:color w:val="auto"/>
          <w:kern w:val="2"/>
          <w:sz w:val="32"/>
          <w:szCs w:val="20"/>
          <w:highlight w:val="none"/>
          <w:u w:val="none"/>
          <w:lang w:val="en-US" w:eastAsia="zh-CN" w:bidi="ar-SA"/>
        </w:rPr>
        <w:t>全面铺开</w:t>
      </w:r>
      <w:r>
        <w:rPr>
          <w:rFonts w:hint="eastAsia" w:ascii="仿宋_GB2312" w:hAnsi="仿宋_GB2312" w:eastAsia="仿宋_GB2312" w:cs="仿宋_GB2312"/>
          <w:i w:val="0"/>
          <w:caps w:val="0"/>
          <w:color w:val="auto"/>
          <w:spacing w:val="0"/>
          <w:kern w:val="2"/>
          <w:sz w:val="32"/>
          <w:szCs w:val="20"/>
          <w:highlight w:val="none"/>
          <w:u w:val="none"/>
        </w:rPr>
        <w:t>农村生活污水治理</w:t>
      </w:r>
      <w:r>
        <w:rPr>
          <w:rFonts w:hint="eastAsia" w:ascii="仿宋_GB2312" w:hAnsi="仿宋_GB2312" w:eastAsia="仿宋_GB2312" w:cs="仿宋_GB2312"/>
          <w:b w:val="0"/>
          <w:bCs w:val="0"/>
          <w:color w:val="auto"/>
          <w:kern w:val="2"/>
          <w:sz w:val="32"/>
          <w:szCs w:val="20"/>
          <w:highlight w:val="none"/>
          <w:u w:val="none"/>
          <w:lang w:val="en-US" w:eastAsia="zh-CN" w:bidi="ar-SA"/>
        </w:rPr>
        <w:t>工作，及时总结宣传一批农村生活污水治理先进经验做法和典型范例。</w:t>
      </w:r>
    </w:p>
    <w:p>
      <w:pPr>
        <w:spacing w:line="540" w:lineRule="exact"/>
        <w:rPr>
          <w:rFonts w:hint="eastAsia" w:ascii="仿宋_GB2312" w:hAnsi="仿宋_GB2312" w:eastAsia="仿宋_GB2312" w:cs="仿宋_GB2312"/>
          <w:i w:val="0"/>
          <w:caps w:val="0"/>
          <w:color w:val="auto"/>
          <w:spacing w:val="0"/>
          <w:sz w:val="32"/>
          <w:szCs w:val="22"/>
          <w:highlight w:val="none"/>
          <w:u w:val="none"/>
        </w:rPr>
      </w:pPr>
      <w:r>
        <w:rPr>
          <w:rFonts w:hint="eastAsia" w:ascii="仿宋_GB2312" w:hAnsi="仿宋_GB2312" w:eastAsia="仿宋_GB2312" w:cs="仿宋_GB2312"/>
          <w:i w:val="0"/>
          <w:caps w:val="0"/>
          <w:color w:val="auto"/>
          <w:spacing w:val="0"/>
          <w:kern w:val="2"/>
          <w:sz w:val="32"/>
          <w:szCs w:val="20"/>
          <w:highlight w:val="none"/>
          <w:u w:val="none"/>
        </w:rPr>
        <w:t>2025年</w:t>
      </w:r>
      <w:r>
        <w:rPr>
          <w:rFonts w:hint="eastAsia" w:ascii="仿宋_GB2312" w:hAnsi="仿宋_GB2312" w:eastAsia="仿宋_GB2312" w:cs="仿宋_GB2312"/>
          <w:i w:val="0"/>
          <w:caps w:val="0"/>
          <w:color w:val="auto"/>
          <w:spacing w:val="0"/>
          <w:kern w:val="2"/>
          <w:sz w:val="32"/>
          <w:szCs w:val="20"/>
          <w:highlight w:val="none"/>
          <w:u w:val="none"/>
          <w:lang w:eastAsia="zh-CN"/>
        </w:rPr>
        <w:t>年</w:t>
      </w:r>
      <w:r>
        <w:rPr>
          <w:rFonts w:hint="eastAsia" w:ascii="仿宋_GB2312" w:hAnsi="仿宋_GB2312" w:eastAsia="仿宋_GB2312" w:cs="仿宋_GB2312"/>
          <w:i w:val="0"/>
          <w:caps w:val="0"/>
          <w:color w:val="auto"/>
          <w:spacing w:val="0"/>
          <w:kern w:val="2"/>
          <w:sz w:val="32"/>
          <w:szCs w:val="20"/>
          <w:highlight w:val="none"/>
          <w:u w:val="none"/>
        </w:rPr>
        <w:t>底前，</w:t>
      </w:r>
      <w:r>
        <w:rPr>
          <w:rFonts w:hint="eastAsia" w:ascii="仿宋_GB2312" w:hAnsi="仿宋_GB2312" w:eastAsia="仿宋_GB2312" w:cs="仿宋_GB2312"/>
          <w:i w:val="0"/>
          <w:caps w:val="0"/>
          <w:color w:val="auto"/>
          <w:spacing w:val="0"/>
          <w:sz w:val="32"/>
          <w:szCs w:val="22"/>
          <w:highlight w:val="none"/>
          <w:u w:val="none"/>
        </w:rPr>
        <w:t>农村生活污水治理率</w:t>
      </w:r>
      <w:r>
        <w:rPr>
          <w:rFonts w:hint="eastAsia" w:ascii="仿宋_GB2312" w:hAnsi="仿宋_GB2312" w:eastAsia="仿宋_GB2312" w:cs="仿宋_GB2312"/>
          <w:i w:val="0"/>
          <w:caps w:val="0"/>
          <w:color w:val="auto"/>
          <w:spacing w:val="0"/>
          <w:sz w:val="32"/>
          <w:szCs w:val="22"/>
          <w:highlight w:val="none"/>
          <w:u w:val="none"/>
          <w:lang w:eastAsia="zh-CN"/>
        </w:rPr>
        <w:t>力争达到</w:t>
      </w:r>
      <w:r>
        <w:rPr>
          <w:rFonts w:hint="eastAsia" w:ascii="仿宋_GB2312" w:hAnsi="仿宋_GB2312" w:eastAsia="仿宋_GB2312" w:cs="仿宋_GB2312"/>
          <w:i w:val="0"/>
          <w:caps w:val="0"/>
          <w:color w:val="auto"/>
          <w:spacing w:val="0"/>
          <w:sz w:val="32"/>
          <w:szCs w:val="22"/>
          <w:highlight w:val="none"/>
          <w:u w:val="none"/>
          <w:lang w:val="en-US" w:eastAsia="zh-CN"/>
        </w:rPr>
        <w:t>38.9%</w:t>
      </w:r>
      <w:r>
        <w:rPr>
          <w:rFonts w:hint="eastAsia" w:ascii="仿宋_GB2312" w:hAnsi="仿宋_GB2312" w:eastAsia="仿宋_GB2312" w:cs="仿宋_GB2312"/>
          <w:i w:val="0"/>
          <w:caps w:val="0"/>
          <w:color w:val="auto"/>
          <w:spacing w:val="0"/>
          <w:sz w:val="32"/>
          <w:szCs w:val="22"/>
          <w:highlight w:val="none"/>
          <w:u w:val="none"/>
        </w:rPr>
        <w:t>，</w:t>
      </w:r>
      <w:r>
        <w:rPr>
          <w:rFonts w:hint="eastAsia" w:ascii="仿宋_GB2312" w:hAnsi="仿宋_GB2312" w:eastAsia="仿宋_GB2312" w:cs="仿宋_GB2312"/>
          <w:color w:val="auto"/>
          <w:sz w:val="32"/>
          <w:szCs w:val="32"/>
          <w:highlight w:val="none"/>
          <w:u w:val="none"/>
          <w:lang w:eastAsia="zh-CN"/>
        </w:rPr>
        <w:t>基本消除较大面积的农村黑臭水体，</w:t>
      </w:r>
      <w:r>
        <w:rPr>
          <w:rFonts w:hint="eastAsia" w:ascii="仿宋_GB2312" w:hAnsi="仿宋_GB2312" w:eastAsia="仿宋_GB2312" w:cs="仿宋_GB2312"/>
          <w:i w:val="0"/>
          <w:caps w:val="0"/>
          <w:color w:val="auto"/>
          <w:spacing w:val="0"/>
          <w:sz w:val="32"/>
          <w:szCs w:val="22"/>
          <w:highlight w:val="none"/>
          <w:u w:val="none"/>
        </w:rPr>
        <w:t>进一步巩固前阶段工作成果，农村生活污水治理运维实现制度化</w:t>
      </w:r>
      <w:r>
        <w:rPr>
          <w:rFonts w:hint="eastAsia" w:ascii="仿宋_GB2312" w:hAnsi="仿宋_GB2312" w:eastAsia="仿宋_GB2312" w:cs="仿宋_GB2312"/>
          <w:i w:val="0"/>
          <w:caps w:val="0"/>
          <w:color w:val="auto"/>
          <w:spacing w:val="0"/>
          <w:sz w:val="32"/>
          <w:szCs w:val="22"/>
          <w:highlight w:val="none"/>
          <w:u w:val="none"/>
          <w:lang w:eastAsia="zh-CN"/>
        </w:rPr>
        <w:t>、规范化</w:t>
      </w:r>
      <w:r>
        <w:rPr>
          <w:rFonts w:hint="eastAsia" w:ascii="仿宋_GB2312" w:hAnsi="仿宋_GB2312" w:eastAsia="仿宋_GB2312" w:cs="仿宋_GB2312"/>
          <w:i w:val="0"/>
          <w:caps w:val="0"/>
          <w:color w:val="auto"/>
          <w:spacing w:val="0"/>
          <w:sz w:val="32"/>
          <w:szCs w:val="22"/>
          <w:highlight w:val="none"/>
          <w:u w:val="none"/>
        </w:rPr>
        <w:t>管理。</w:t>
      </w:r>
    </w:p>
    <w:p>
      <w:pPr>
        <w:pStyle w:val="5"/>
        <w:numPr>
          <w:ilvl w:val="0"/>
          <w:numId w:val="0"/>
        </w:numPr>
        <w:spacing w:line="540" w:lineRule="exact"/>
        <w:ind w:right="23" w:firstLine="640" w:firstLineChars="200"/>
        <w:jc w:val="left"/>
        <w:rPr>
          <w:rFonts w:hint="eastAsia" w:ascii="黑体" w:hAnsi="黑体" w:eastAsia="黑体" w:cs="黑体"/>
          <w:b w:val="0"/>
          <w:bCs/>
          <w:color w:val="auto"/>
          <w:highlight w:val="none"/>
          <w:lang w:val="en-US" w:eastAsia="zh-CN"/>
        </w:rPr>
      </w:pPr>
      <w:bookmarkStart w:id="29" w:name="_Toc18225"/>
      <w:bookmarkStart w:id="30" w:name="_Toc25483"/>
      <w:bookmarkStart w:id="31" w:name="_Toc5049"/>
      <w:bookmarkStart w:id="32" w:name="_Toc12422"/>
      <w:bookmarkStart w:id="33" w:name="_Toc19593"/>
      <w:bookmarkStart w:id="34" w:name="_Toc23226"/>
      <w:bookmarkStart w:id="35" w:name="_Toc16790_WPSOffice_Level1"/>
      <w:bookmarkStart w:id="36" w:name="_Toc10883"/>
      <w:r>
        <w:rPr>
          <w:rFonts w:hint="eastAsia" w:ascii="黑体" w:hAnsi="黑体" w:eastAsia="黑体" w:cs="黑体"/>
          <w:b w:val="0"/>
          <w:bCs/>
          <w:color w:val="auto"/>
          <w:highlight w:val="none"/>
          <w:lang w:val="en-US" w:eastAsia="zh-CN"/>
        </w:rPr>
        <w:t>二、主要任务</w:t>
      </w:r>
    </w:p>
    <w:p>
      <w:pPr>
        <w:pStyle w:val="6"/>
        <w:keepNext w:val="0"/>
        <w:keepLines w:val="0"/>
        <w:pageBreakBefore w:val="0"/>
        <w:widowControl/>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r>
        <w:rPr>
          <w:rFonts w:hint="eastAsia" w:ascii="楷体_GB2312" w:hAnsi="楷体_GB2312" w:eastAsia="楷体_GB2312" w:cs="楷体_GB2312"/>
          <w:b w:val="0"/>
          <w:bCs/>
          <w:color w:val="auto"/>
          <w:szCs w:val="36"/>
          <w:highlight w:val="none"/>
          <w:lang w:val="en-US" w:eastAsia="zh-CN"/>
        </w:rPr>
        <w:t>（一）突出重点，明确优先治理范围</w:t>
      </w:r>
      <w:bookmarkEnd w:id="29"/>
      <w:bookmarkEnd w:id="30"/>
      <w:bookmarkEnd w:id="31"/>
      <w:bookmarkEnd w:id="32"/>
      <w:bookmarkEnd w:id="33"/>
      <w:bookmarkEnd w:id="34"/>
      <w:bookmarkEnd w:id="35"/>
      <w:bookmarkEnd w:id="36"/>
    </w:p>
    <w:p>
      <w:pPr>
        <w:bidi w:val="0"/>
        <w:spacing w:line="540" w:lineRule="exac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优先治理全市乡镇政府驻地、中心村、自然村平均人口≥500人、农村饮用水水源地、旅游风景区、重点流域沿岸、农村黑臭水体集中区域七大类行政村，数量分别为57个、124个、237个、77个、22个、0个、6个，扣除重复合计390个，梯次推进其他类农村的生活污水治理。</w:t>
      </w:r>
    </w:p>
    <w:p>
      <w:pPr>
        <w:spacing w:line="540" w:lineRule="exac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各县区、新区优先治理行政村数量见附表4。附表4所列优先治理的七大类行政村数量为指导性，各县区、新区可根据实际情况，在确保完成农村生活污水治理率的前提下，对每个县区、新区优先治理的行政村数量作适当调整。</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bookmarkStart w:id="37" w:name="_Toc16579"/>
      <w:bookmarkStart w:id="38" w:name="_Toc22436"/>
      <w:bookmarkStart w:id="39" w:name="_Toc9138"/>
      <w:bookmarkStart w:id="40" w:name="_Toc17623"/>
      <w:bookmarkStart w:id="41" w:name="_Toc25854"/>
      <w:bookmarkStart w:id="42" w:name="_Toc26895"/>
      <w:bookmarkStart w:id="43" w:name="_Toc12145"/>
      <w:bookmarkStart w:id="44" w:name="_Toc25947_WPSOffice_Level2"/>
      <w:r>
        <w:rPr>
          <w:rFonts w:hint="eastAsia" w:ascii="楷体_GB2312" w:hAnsi="楷体_GB2312" w:eastAsia="楷体_GB2312" w:cs="楷体_GB2312"/>
          <w:b w:val="0"/>
          <w:bCs/>
          <w:color w:val="auto"/>
          <w:szCs w:val="36"/>
          <w:highlight w:val="none"/>
          <w:lang w:val="en-US" w:eastAsia="zh-CN"/>
        </w:rPr>
        <w:t>（二）统筹谋划，加强项目储备</w:t>
      </w:r>
      <w:bookmarkEnd w:id="37"/>
      <w:bookmarkEnd w:id="38"/>
      <w:bookmarkEnd w:id="39"/>
      <w:bookmarkEnd w:id="40"/>
    </w:p>
    <w:p>
      <w:pPr>
        <w:spacing w:line="540" w:lineRule="exact"/>
        <w:rPr>
          <w:rFonts w:hint="eastAsia" w:ascii="仿宋_GB2312" w:hAnsi="仿宋_GB2312" w:eastAsia="仿宋_GB2312" w:cs="仿宋_GB2312"/>
          <w:color w:val="auto"/>
          <w:szCs w:val="32"/>
          <w:highlight w:val="none"/>
        </w:rPr>
      </w:pPr>
      <w:r>
        <w:rPr>
          <w:rFonts w:hint="eastAsia" w:ascii="仿宋_GB2312" w:hAnsi="仿宋_GB2312" w:eastAsia="仿宋_GB2312" w:cs="仿宋_GB2312"/>
          <w:b w:val="0"/>
          <w:bCs w:val="0"/>
          <w:color w:val="auto"/>
          <w:szCs w:val="32"/>
          <w:highlight w:val="none"/>
          <w:lang w:val="en-US" w:eastAsia="zh-CN"/>
        </w:rPr>
        <w:t>以县级行政区为单元，实行农村生活污水治理统一规划、统一建设、统一管理。各地按照“一县一规划、一镇一方案、一村一设计”，形成项目清单。同时注重与乡村振兴规划、国土空间规划、村庄规划等互相衔接、协同推进。</w:t>
      </w:r>
      <w:r>
        <w:rPr>
          <w:rFonts w:hint="eastAsia" w:ascii="仿宋_GB2312" w:hAnsi="仿宋_GB2312" w:eastAsia="仿宋_GB2312" w:cs="仿宋_GB2312"/>
          <w:color w:val="auto"/>
          <w:szCs w:val="32"/>
          <w:highlight w:val="none"/>
          <w:lang w:eastAsia="zh-CN"/>
        </w:rPr>
        <w:t>按照“十四五”</w:t>
      </w:r>
      <w:r>
        <w:rPr>
          <w:rFonts w:hint="eastAsia" w:ascii="仿宋_GB2312" w:hAnsi="仿宋_GB2312" w:eastAsia="仿宋_GB2312" w:cs="仿宋_GB2312"/>
          <w:b w:val="0"/>
          <w:bCs w:val="0"/>
          <w:color w:val="auto"/>
          <w:szCs w:val="32"/>
          <w:highlight w:val="none"/>
        </w:rPr>
        <w:t>新目标和新要求，</w:t>
      </w:r>
      <w:r>
        <w:rPr>
          <w:rFonts w:hint="eastAsia" w:ascii="仿宋_GB2312" w:hAnsi="仿宋_GB2312" w:eastAsia="仿宋_GB2312" w:cs="仿宋_GB2312"/>
          <w:color w:val="auto"/>
          <w:highlight w:val="none"/>
          <w:lang w:val="en-US" w:eastAsia="zh-CN"/>
        </w:rPr>
        <w:t>各县区、新区</w:t>
      </w:r>
      <w:r>
        <w:rPr>
          <w:rFonts w:hint="eastAsia" w:ascii="仿宋_GB2312" w:hAnsi="仿宋_GB2312" w:eastAsia="仿宋_GB2312" w:cs="仿宋_GB2312"/>
          <w:color w:val="auto"/>
          <w:szCs w:val="32"/>
          <w:highlight w:val="none"/>
          <w:lang w:eastAsia="zh-CN"/>
        </w:rPr>
        <w:t>制定农村生活污水治理规划或实施方案，</w:t>
      </w:r>
      <w:r>
        <w:rPr>
          <w:rFonts w:hint="eastAsia" w:ascii="仿宋_GB2312" w:hAnsi="仿宋_GB2312" w:eastAsia="仿宋_GB2312" w:cs="仿宋_GB2312"/>
          <w:color w:val="auto"/>
          <w:szCs w:val="32"/>
          <w:highlight w:val="none"/>
        </w:rPr>
        <w:t>科学合理确定年度目标任务</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明确治理</w:t>
      </w:r>
      <w:r>
        <w:rPr>
          <w:rFonts w:hint="eastAsia" w:ascii="仿宋_GB2312" w:hAnsi="仿宋_GB2312" w:eastAsia="仿宋_GB2312" w:cs="仿宋_GB2312"/>
          <w:color w:val="auto"/>
          <w:szCs w:val="32"/>
          <w:highlight w:val="none"/>
          <w:lang w:val="en-US" w:eastAsia="zh-CN"/>
        </w:rPr>
        <w:t>区域</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治理模式</w:t>
      </w:r>
      <w:r>
        <w:rPr>
          <w:rFonts w:hint="eastAsia" w:ascii="仿宋_GB2312" w:hAnsi="仿宋_GB2312" w:eastAsia="仿宋_GB2312" w:cs="仿宋_GB2312"/>
          <w:color w:val="auto"/>
          <w:szCs w:val="32"/>
          <w:highlight w:val="none"/>
          <w:lang w:eastAsia="zh-CN"/>
        </w:rPr>
        <w:t>、资金</w:t>
      </w:r>
      <w:r>
        <w:rPr>
          <w:rFonts w:hint="eastAsia" w:ascii="仿宋_GB2312" w:hAnsi="仿宋_GB2312" w:eastAsia="仿宋_GB2312" w:cs="仿宋_GB2312"/>
          <w:color w:val="auto"/>
          <w:szCs w:val="32"/>
          <w:highlight w:val="none"/>
          <w:lang w:val="en-US" w:eastAsia="zh-CN"/>
        </w:rPr>
        <w:t>来源</w:t>
      </w:r>
      <w:r>
        <w:rPr>
          <w:rFonts w:hint="eastAsia" w:ascii="仿宋_GB2312" w:hAnsi="仿宋_GB2312" w:eastAsia="仿宋_GB2312" w:cs="仿宋_GB2312"/>
          <w:color w:val="auto"/>
          <w:szCs w:val="32"/>
          <w:highlight w:val="none"/>
        </w:rPr>
        <w:t>等</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highlight w:val="none"/>
          <w:lang w:val="en-US" w:eastAsia="zh-CN"/>
        </w:rPr>
        <w:t>按照</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资金跟着项目走</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的原则</w:t>
      </w:r>
      <w:r>
        <w:rPr>
          <w:rFonts w:hint="eastAsia" w:ascii="仿宋_GB2312" w:hAnsi="仿宋_GB2312" w:eastAsia="仿宋_GB2312" w:cs="仿宋_GB2312"/>
          <w:color w:val="auto"/>
          <w:highlight w:val="none"/>
          <w:lang w:eastAsia="zh-CN"/>
        </w:rPr>
        <w:t>，规范</w:t>
      </w:r>
      <w:r>
        <w:rPr>
          <w:rFonts w:hint="eastAsia" w:ascii="仿宋_GB2312" w:hAnsi="仿宋_GB2312" w:eastAsia="仿宋_GB2312" w:cs="仿宋_GB2312"/>
          <w:color w:val="auto"/>
          <w:highlight w:val="none"/>
          <w:lang w:val="en-US" w:eastAsia="zh-CN"/>
        </w:rPr>
        <w:t>项目</w:t>
      </w:r>
      <w:r>
        <w:rPr>
          <w:rFonts w:hint="eastAsia" w:ascii="仿宋_GB2312" w:hAnsi="仿宋_GB2312" w:eastAsia="仿宋_GB2312" w:cs="仿宋_GB2312"/>
          <w:color w:val="auto"/>
          <w:highlight w:val="none"/>
          <w:lang w:eastAsia="zh-CN"/>
        </w:rPr>
        <w:t>管理，</w:t>
      </w:r>
      <w:r>
        <w:rPr>
          <w:rFonts w:hint="eastAsia" w:ascii="仿宋_GB2312" w:hAnsi="仿宋_GB2312" w:eastAsia="仿宋_GB2312" w:cs="仿宋_GB2312"/>
          <w:b w:val="0"/>
          <w:bCs w:val="0"/>
          <w:color w:val="auto"/>
          <w:szCs w:val="32"/>
          <w:highlight w:val="none"/>
        </w:rPr>
        <w:t>加强农村生活污水治理项目储备，</w:t>
      </w:r>
      <w:r>
        <w:rPr>
          <w:rFonts w:hint="eastAsia" w:ascii="仿宋_GB2312" w:hAnsi="仿宋_GB2312" w:eastAsia="仿宋_GB2312" w:cs="仿宋_GB2312"/>
          <w:color w:val="auto"/>
          <w:szCs w:val="32"/>
          <w:highlight w:val="none"/>
        </w:rPr>
        <w:t>以农村生活污水治理为重点，协同治理农村黑臭水体，</w:t>
      </w:r>
      <w:r>
        <w:rPr>
          <w:rFonts w:hint="eastAsia" w:ascii="仿宋_GB2312" w:hAnsi="仿宋_GB2312" w:eastAsia="仿宋_GB2312" w:cs="仿宋_GB2312"/>
          <w:b w:val="0"/>
          <w:color w:val="auto"/>
          <w:sz w:val="32"/>
          <w:szCs w:val="22"/>
          <w:highlight w:val="none"/>
          <w:lang w:val="en-US" w:eastAsia="zh-CN" w:bidi="ar-SA"/>
        </w:rPr>
        <w:t>筛选一批生活污水治理需求迫切、基础条件好、积极性高的村庄，编制项目实施方案或可行性研究报告，</w:t>
      </w:r>
      <w:r>
        <w:rPr>
          <w:rFonts w:hint="eastAsia" w:ascii="仿宋_GB2312" w:hAnsi="仿宋_GB2312" w:eastAsia="仿宋_GB2312" w:cs="仿宋_GB2312"/>
          <w:b w:val="0"/>
          <w:bCs w:val="0"/>
          <w:color w:val="auto"/>
          <w:szCs w:val="32"/>
          <w:highlight w:val="none"/>
          <w:lang w:val="en-US" w:eastAsia="zh-CN"/>
        </w:rPr>
        <w:t>积极申报入库</w:t>
      </w:r>
      <w:r>
        <w:rPr>
          <w:rFonts w:hint="eastAsia" w:ascii="仿宋_GB2312" w:hAnsi="仿宋_GB2312" w:eastAsia="仿宋_GB2312" w:cs="仿宋_GB2312"/>
          <w:color w:val="auto"/>
          <w:highlight w:val="none"/>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bookmarkStart w:id="45" w:name="_Toc23582"/>
      <w:bookmarkStart w:id="46" w:name="_Toc3235"/>
      <w:bookmarkStart w:id="47" w:name="_Toc26473"/>
      <w:bookmarkStart w:id="48" w:name="_Toc11562"/>
      <w:r>
        <w:rPr>
          <w:rFonts w:hint="eastAsia" w:ascii="楷体_GB2312" w:hAnsi="楷体_GB2312" w:eastAsia="楷体_GB2312" w:cs="楷体_GB2312"/>
          <w:b w:val="0"/>
          <w:bCs/>
          <w:color w:val="auto"/>
          <w:szCs w:val="36"/>
          <w:highlight w:val="none"/>
          <w:lang w:val="en-US" w:eastAsia="zh-CN"/>
        </w:rPr>
        <w:t>（三）降本增效，分类推进治理</w:t>
      </w:r>
      <w:bookmarkEnd w:id="45"/>
      <w:bookmarkEnd w:id="46"/>
      <w:bookmarkEnd w:id="47"/>
      <w:bookmarkEnd w:id="48"/>
    </w:p>
    <w:p>
      <w:pPr>
        <w:spacing w:line="540" w:lineRule="exac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kern w:val="0"/>
          <w:szCs w:val="22"/>
          <w:highlight w:val="none"/>
        </w:rPr>
        <w:t>综合考虑农村人口规模、经济发展水平、污水产排状况、自然禀赋、生态环境敏感程度和受纳水体环境容量等，</w:t>
      </w:r>
      <w:r>
        <w:rPr>
          <w:rFonts w:hint="eastAsia" w:ascii="仿宋_GB2312" w:hAnsi="仿宋_GB2312" w:eastAsia="仿宋_GB2312" w:cs="仿宋_GB2312"/>
          <w:color w:val="auto"/>
          <w:kern w:val="0"/>
          <w:szCs w:val="22"/>
          <w:highlight w:val="none"/>
          <w:lang w:val="en-US" w:eastAsia="zh-CN"/>
        </w:rPr>
        <w:t>合理</w:t>
      </w:r>
      <w:r>
        <w:rPr>
          <w:rFonts w:hint="eastAsia" w:ascii="仿宋_GB2312" w:hAnsi="仿宋_GB2312" w:eastAsia="仿宋_GB2312" w:cs="仿宋_GB2312"/>
          <w:color w:val="auto"/>
          <w:kern w:val="0"/>
          <w:szCs w:val="22"/>
          <w:highlight w:val="none"/>
        </w:rPr>
        <w:t>选取农村生活污水处理</w:t>
      </w:r>
      <w:r>
        <w:rPr>
          <w:rFonts w:hint="eastAsia" w:ascii="仿宋_GB2312" w:hAnsi="仿宋_GB2312" w:eastAsia="仿宋_GB2312" w:cs="仿宋_GB2312"/>
          <w:color w:val="auto"/>
          <w:kern w:val="0"/>
          <w:szCs w:val="22"/>
          <w:highlight w:val="none"/>
          <w:lang w:val="en-US" w:eastAsia="zh-CN"/>
        </w:rPr>
        <w:t>模式和</w:t>
      </w:r>
      <w:r>
        <w:rPr>
          <w:rFonts w:hint="eastAsia" w:ascii="仿宋_GB2312" w:hAnsi="仿宋_GB2312" w:eastAsia="仿宋_GB2312" w:cs="仿宋_GB2312"/>
          <w:color w:val="auto"/>
          <w:kern w:val="0"/>
          <w:szCs w:val="22"/>
          <w:highlight w:val="none"/>
        </w:rPr>
        <w:t>工艺</w:t>
      </w:r>
      <w:r>
        <w:rPr>
          <w:rFonts w:hint="eastAsia" w:ascii="仿宋_GB2312" w:hAnsi="仿宋_GB2312" w:eastAsia="仿宋_GB2312" w:cs="仿宋_GB2312"/>
          <w:color w:val="auto"/>
          <w:kern w:val="0"/>
          <w:szCs w:val="22"/>
          <w:highlight w:val="none"/>
          <w:lang w:eastAsia="zh-CN"/>
        </w:rPr>
        <w:t>。既要考虑建设成本，更要考虑运行维护成本。鼓励整县整镇整乡连片推进农村生活污水治理，提高农村生活污水治理率。</w:t>
      </w:r>
      <w:r>
        <w:rPr>
          <w:rFonts w:hint="eastAsia" w:ascii="仿宋_GB2312" w:hAnsi="仿宋_GB2312" w:eastAsia="仿宋_GB2312" w:cs="仿宋_GB2312"/>
          <w:color w:val="auto"/>
          <w:highlight w:val="none"/>
        </w:rPr>
        <w:t>推进城镇或园区污水处理设施和服务向农村延伸，靠近城镇或园区且满足污水收集管网接入要求的村庄，</w:t>
      </w:r>
      <w:r>
        <w:rPr>
          <w:rFonts w:hint="eastAsia" w:ascii="仿宋_GB2312" w:hAnsi="仿宋_GB2312" w:eastAsia="仿宋_GB2312" w:cs="仿宋_GB2312"/>
          <w:color w:val="auto"/>
          <w:highlight w:val="none"/>
          <w:lang w:eastAsia="zh-CN"/>
        </w:rPr>
        <w:t>污水可通过管网纳入</w:t>
      </w:r>
      <w:r>
        <w:rPr>
          <w:rFonts w:hint="eastAsia" w:ascii="仿宋_GB2312" w:hAnsi="仿宋_GB2312" w:eastAsia="仿宋_GB2312" w:cs="仿宋_GB2312"/>
          <w:color w:val="auto"/>
          <w:highlight w:val="none"/>
        </w:rPr>
        <w:t>城镇或园区</w:t>
      </w:r>
      <w:r>
        <w:rPr>
          <w:rFonts w:hint="eastAsia" w:ascii="仿宋_GB2312" w:hAnsi="仿宋_GB2312" w:eastAsia="仿宋_GB2312" w:cs="仿宋_GB2312"/>
          <w:color w:val="auto"/>
          <w:highlight w:val="none"/>
          <w:lang w:eastAsia="zh-CN"/>
        </w:rPr>
        <w:t>污水处理设施进行处理；离</w:t>
      </w:r>
      <w:r>
        <w:rPr>
          <w:rFonts w:hint="eastAsia" w:ascii="仿宋_GB2312" w:hAnsi="仿宋_GB2312" w:eastAsia="仿宋_GB2312" w:cs="仿宋_GB2312"/>
          <w:color w:val="auto"/>
          <w:highlight w:val="none"/>
        </w:rPr>
        <w:t>城镇或园区</w:t>
      </w:r>
      <w:r>
        <w:rPr>
          <w:rFonts w:hint="eastAsia" w:ascii="仿宋_GB2312" w:hAnsi="仿宋_GB2312" w:eastAsia="仿宋_GB2312" w:cs="仿宋_GB2312"/>
          <w:color w:val="auto"/>
          <w:highlight w:val="none"/>
          <w:lang w:eastAsia="zh-CN"/>
        </w:rPr>
        <w:t>较远且</w:t>
      </w:r>
      <w:r>
        <w:rPr>
          <w:rFonts w:hint="eastAsia" w:ascii="仿宋_GB2312" w:hAnsi="仿宋_GB2312" w:eastAsia="仿宋_GB2312" w:cs="仿宋_GB2312"/>
          <w:color w:val="auto"/>
          <w:sz w:val="32"/>
          <w:szCs w:val="32"/>
          <w:highlight w:val="none"/>
          <w:lang w:eastAsia="zh-CN"/>
        </w:rPr>
        <w:t>人口聚集程度高的</w:t>
      </w:r>
      <w:r>
        <w:rPr>
          <w:rFonts w:hint="eastAsia" w:ascii="仿宋_GB2312" w:hAnsi="仿宋_GB2312" w:eastAsia="仿宋_GB2312" w:cs="仿宋_GB2312"/>
          <w:color w:val="auto"/>
          <w:highlight w:val="none"/>
          <w:lang w:eastAsia="zh-CN"/>
        </w:rPr>
        <w:t>村庄，</w:t>
      </w:r>
      <w:r>
        <w:rPr>
          <w:rFonts w:hint="eastAsia" w:ascii="仿宋_GB2312" w:hAnsi="仿宋_GB2312" w:eastAsia="仿宋_GB2312" w:cs="仿宋_GB2312"/>
          <w:color w:val="auto"/>
          <w:kern w:val="0"/>
          <w:szCs w:val="22"/>
          <w:highlight w:val="none"/>
        </w:rPr>
        <w:t>结合排水去向</w:t>
      </w:r>
      <w:r>
        <w:rPr>
          <w:rFonts w:hint="eastAsia" w:ascii="仿宋_GB2312" w:hAnsi="仿宋_GB2312" w:eastAsia="仿宋_GB2312" w:cs="仿宋_GB2312"/>
          <w:color w:val="auto"/>
          <w:kern w:val="0"/>
          <w:szCs w:val="22"/>
          <w:highlight w:val="none"/>
          <w:lang w:eastAsia="zh-CN"/>
        </w:rPr>
        <w:t>和</w:t>
      </w:r>
      <w:r>
        <w:rPr>
          <w:rFonts w:hint="eastAsia" w:ascii="仿宋_GB2312" w:hAnsi="仿宋_GB2312" w:eastAsia="仿宋_GB2312" w:cs="仿宋_GB2312"/>
          <w:color w:val="auto"/>
          <w:kern w:val="0"/>
          <w:szCs w:val="22"/>
          <w:highlight w:val="none"/>
        </w:rPr>
        <w:t>处理规模因地制宜</w:t>
      </w:r>
      <w:r>
        <w:rPr>
          <w:rFonts w:hint="eastAsia" w:ascii="仿宋_GB2312" w:hAnsi="仿宋_GB2312" w:eastAsia="仿宋_GB2312" w:cs="仿宋_GB2312"/>
          <w:color w:val="auto"/>
          <w:highlight w:val="none"/>
          <w:lang w:eastAsia="zh-CN"/>
        </w:rPr>
        <w:t>建设农村生活污水处理集中设施。</w:t>
      </w:r>
      <w:r>
        <w:rPr>
          <w:rFonts w:hint="eastAsia" w:ascii="仿宋_GB2312" w:hAnsi="仿宋_GB2312" w:eastAsia="仿宋_GB2312" w:cs="仿宋_GB2312"/>
          <w:color w:val="auto"/>
          <w:highlight w:val="none"/>
        </w:rPr>
        <w:t>结合群众意愿和当地实际，在非环境敏感</w:t>
      </w:r>
      <w:r>
        <w:rPr>
          <w:rFonts w:hint="eastAsia" w:ascii="仿宋_GB2312" w:hAnsi="仿宋_GB2312" w:eastAsia="仿宋_GB2312" w:cs="仿宋_GB2312"/>
          <w:color w:val="auto"/>
          <w:highlight w:val="none"/>
          <w:lang w:eastAsia="zh-CN"/>
        </w:rPr>
        <w:t>且</w:t>
      </w:r>
      <w:r>
        <w:rPr>
          <w:rFonts w:hint="eastAsia" w:ascii="仿宋_GB2312" w:hAnsi="仿宋_GB2312" w:eastAsia="仿宋_GB2312" w:cs="仿宋_GB2312"/>
          <w:color w:val="auto"/>
          <w:highlight w:val="none"/>
        </w:rPr>
        <w:t>有一定环境容量的</w:t>
      </w:r>
      <w:r>
        <w:rPr>
          <w:rFonts w:hint="eastAsia" w:ascii="仿宋_GB2312" w:hAnsi="仿宋_GB2312" w:eastAsia="仿宋_GB2312" w:cs="仿宋_GB2312"/>
          <w:color w:val="auto"/>
          <w:highlight w:val="none"/>
          <w:lang w:eastAsia="zh-CN"/>
        </w:rPr>
        <w:t>村庄</w:t>
      </w:r>
      <w:r>
        <w:rPr>
          <w:rFonts w:hint="eastAsia" w:ascii="仿宋_GB2312" w:hAnsi="仿宋_GB2312" w:eastAsia="仿宋_GB2312" w:cs="仿宋_GB2312"/>
          <w:color w:val="auto"/>
          <w:highlight w:val="none"/>
        </w:rPr>
        <w:t>，以</w:t>
      </w:r>
      <w:r>
        <w:rPr>
          <w:rFonts w:hint="eastAsia" w:ascii="仿宋_GB2312" w:hAnsi="仿宋_GB2312" w:eastAsia="仿宋_GB2312" w:cs="仿宋_GB2312"/>
          <w:color w:val="auto"/>
          <w:highlight w:val="none"/>
          <w:lang w:val="en-US" w:eastAsia="zh-CN"/>
        </w:rPr>
        <w:t>卫生</w:t>
      </w:r>
      <w:r>
        <w:rPr>
          <w:rFonts w:hint="eastAsia" w:ascii="仿宋_GB2312" w:hAnsi="仿宋_GB2312" w:eastAsia="仿宋_GB2312" w:cs="仿宋_GB2312"/>
          <w:color w:val="auto"/>
          <w:highlight w:val="none"/>
        </w:rPr>
        <w:t>厕所标准化改造为重点，</w:t>
      </w:r>
      <w:r>
        <w:rPr>
          <w:rFonts w:hint="eastAsia" w:ascii="仿宋_GB2312" w:hAnsi="仿宋_GB2312" w:eastAsia="仿宋_GB2312" w:cs="仿宋_GB2312"/>
          <w:color w:val="auto"/>
          <w:highlight w:val="none"/>
          <w:lang w:eastAsia="zh-CN"/>
        </w:rPr>
        <w:t>深化</w:t>
      </w:r>
      <w:r>
        <w:rPr>
          <w:rFonts w:hint="eastAsia" w:ascii="仿宋_GB2312" w:hAnsi="仿宋_GB2312" w:eastAsia="仿宋_GB2312" w:cs="仿宋_GB2312"/>
          <w:color w:val="auto"/>
          <w:highlight w:val="none"/>
        </w:rPr>
        <w:t>农村</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厕所革命</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lang w:val="en-US" w:eastAsia="zh-CN"/>
        </w:rPr>
        <w:t>有条件的地方积极推广</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三个两、无动力、低成本</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农村黑灰</w:t>
      </w:r>
      <w:r>
        <w:rPr>
          <w:rFonts w:hint="eastAsia" w:ascii="仿宋_GB2312" w:hAnsi="仿宋_GB2312" w:eastAsia="仿宋_GB2312" w:cs="仿宋_GB2312"/>
          <w:color w:val="auto"/>
          <w:highlight w:val="none"/>
          <w:lang w:eastAsia="zh-CN"/>
        </w:rPr>
        <w:t>污水处理利用模式，</w:t>
      </w:r>
      <w:r>
        <w:rPr>
          <w:rFonts w:hint="eastAsia" w:ascii="仿宋_GB2312" w:hAnsi="仿宋_GB2312" w:eastAsia="仿宋_GB2312" w:cs="仿宋_GB2312"/>
          <w:color w:val="auto"/>
          <w:highlight w:val="none"/>
        </w:rPr>
        <w:t>做好粪污无害化处理和资源化利用</w:t>
      </w:r>
      <w:r>
        <w:rPr>
          <w:rFonts w:hint="eastAsia" w:ascii="仿宋_GB2312" w:hAnsi="仿宋_GB2312" w:eastAsia="仿宋_GB2312" w:cs="仿宋_GB2312"/>
          <w:color w:val="auto"/>
          <w:highlight w:val="none"/>
          <w:lang w:eastAsia="zh-CN"/>
        </w:rPr>
        <w:t>，建立</w:t>
      </w:r>
      <w:r>
        <w:rPr>
          <w:rFonts w:hint="eastAsia" w:ascii="仿宋_GB2312" w:hAnsi="仿宋_GB2312" w:eastAsia="仿宋_GB2312" w:cs="仿宋_GB2312"/>
          <w:color w:val="auto"/>
          <w:highlight w:val="none"/>
        </w:rPr>
        <w:t>推广</w:t>
      </w:r>
      <w:r>
        <w:rPr>
          <w:rFonts w:hint="eastAsia" w:ascii="仿宋_GB2312" w:hAnsi="仿宋_GB2312" w:eastAsia="仿宋_GB2312" w:cs="仿宋_GB2312"/>
          <w:color w:val="auto"/>
          <w:highlight w:val="none"/>
          <w:lang w:eastAsia="zh-CN"/>
        </w:rPr>
        <w:t>农村生活污水资源化利用</w:t>
      </w:r>
      <w:r>
        <w:rPr>
          <w:rFonts w:hint="eastAsia" w:ascii="仿宋_GB2312" w:hAnsi="仿宋_GB2312" w:eastAsia="仿宋_GB2312" w:cs="仿宋_GB2312"/>
          <w:color w:val="auto"/>
          <w:highlight w:val="none"/>
        </w:rPr>
        <w:t>模式</w:t>
      </w:r>
      <w:r>
        <w:rPr>
          <w:rFonts w:hint="eastAsia" w:ascii="仿宋_GB2312" w:hAnsi="仿宋_GB2312" w:eastAsia="仿宋_GB2312" w:cs="仿宋_GB2312"/>
          <w:color w:val="auto"/>
          <w:highlight w:val="none"/>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bookmarkStart w:id="49" w:name="_Toc22359"/>
      <w:bookmarkStart w:id="50" w:name="_Toc13728"/>
      <w:bookmarkStart w:id="51" w:name="_Toc6854"/>
      <w:bookmarkStart w:id="52" w:name="_Toc19880"/>
      <w:r>
        <w:rPr>
          <w:rFonts w:hint="eastAsia" w:ascii="楷体_GB2312" w:hAnsi="楷体_GB2312" w:eastAsia="楷体_GB2312" w:cs="楷体_GB2312"/>
          <w:b w:val="0"/>
          <w:bCs/>
          <w:color w:val="auto"/>
          <w:szCs w:val="36"/>
          <w:highlight w:val="none"/>
          <w:lang w:eastAsia="zh-CN"/>
        </w:rPr>
        <w:t>（四）规范建设</w:t>
      </w:r>
      <w:r>
        <w:rPr>
          <w:rFonts w:hint="eastAsia" w:ascii="楷体_GB2312" w:hAnsi="楷体_GB2312" w:eastAsia="楷体_GB2312" w:cs="楷体_GB2312"/>
          <w:b w:val="0"/>
          <w:bCs/>
          <w:color w:val="auto"/>
          <w:szCs w:val="36"/>
          <w:highlight w:val="none"/>
          <w:lang w:val="en-US" w:eastAsia="zh-CN"/>
        </w:rPr>
        <w:t>，提升治理水平</w:t>
      </w:r>
      <w:bookmarkEnd w:id="49"/>
      <w:bookmarkEnd w:id="50"/>
      <w:bookmarkEnd w:id="51"/>
      <w:bookmarkEnd w:id="52"/>
    </w:p>
    <w:p>
      <w:pPr>
        <w:pStyle w:val="10"/>
        <w:spacing w:line="540" w:lineRule="exact"/>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lang w:val="en-US" w:eastAsia="zh-CN"/>
        </w:rPr>
        <w:t>规范推进农村生活污水处理设施建设。</w:t>
      </w:r>
      <w:r>
        <w:rPr>
          <w:rFonts w:hint="eastAsia" w:ascii="仿宋_GB2312" w:hAnsi="仿宋_GB2312" w:eastAsia="仿宋_GB2312" w:cs="仿宋_GB2312"/>
          <w:color w:val="auto"/>
          <w:sz w:val="32"/>
          <w:highlight w:val="none"/>
        </w:rPr>
        <w:t>加强属地管理，实施农村生活污水治理项目</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立项-建设-验收-运维</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全过程监管。依据设施规模合理确定用地面积，组织落实设施选址和建设用地，避免出现</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小规模大用地</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开工等用地</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等问题。合理布设农村生活污水</w:t>
      </w:r>
      <w:r>
        <w:rPr>
          <w:rFonts w:hint="eastAsia" w:ascii="仿宋_GB2312" w:hAnsi="仿宋_GB2312" w:eastAsia="仿宋_GB2312" w:cs="仿宋_GB2312"/>
          <w:color w:val="auto"/>
          <w:sz w:val="32"/>
          <w:highlight w:val="none"/>
          <w:lang w:val="en-US" w:eastAsia="zh-CN"/>
        </w:rPr>
        <w:t>收集</w:t>
      </w:r>
      <w:r>
        <w:rPr>
          <w:rFonts w:hint="eastAsia" w:ascii="仿宋_GB2312" w:hAnsi="仿宋_GB2312" w:eastAsia="仿宋_GB2312" w:cs="仿宋_GB2312"/>
          <w:color w:val="auto"/>
          <w:sz w:val="32"/>
          <w:highlight w:val="none"/>
        </w:rPr>
        <w:t>管网，鼓励雨污分流，污水应接尽接，提高污水有效收集率</w:t>
      </w:r>
      <w:r>
        <w:rPr>
          <w:rFonts w:hint="eastAsia" w:ascii="仿宋_GB2312" w:hAnsi="仿宋_GB2312" w:eastAsia="仿宋_GB2312" w:cs="仿宋_GB2312"/>
          <w:color w:val="auto"/>
          <w:sz w:val="32"/>
          <w:highlight w:val="none"/>
          <w:lang w:eastAsia="zh-CN"/>
        </w:rPr>
        <w:t>。按常住人口设计设施规模，</w:t>
      </w:r>
      <w:r>
        <w:rPr>
          <w:rFonts w:hint="eastAsia" w:ascii="仿宋_GB2312" w:hAnsi="仿宋_GB2312" w:eastAsia="仿宋_GB2312" w:cs="仿宋_GB2312"/>
          <w:color w:val="auto"/>
          <w:sz w:val="32"/>
          <w:highlight w:val="none"/>
        </w:rPr>
        <w:t>避免出现农村生活污水处理设施</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吃不饱</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现象</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定期总结农村生活污水治理实用技术、工程建设经验和项目融资模式，分区分类形成农村生活污水处理典型案例，积极探索农村生活污水治理创新技术试点，推广</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三</w:t>
      </w:r>
      <w:r>
        <w:rPr>
          <w:rFonts w:hint="eastAsia" w:ascii="仿宋_GB2312" w:hAnsi="仿宋_GB2312" w:eastAsia="仿宋_GB2312" w:cs="仿宋_GB2312"/>
          <w:color w:val="auto"/>
          <w:sz w:val="32"/>
          <w:highlight w:val="none"/>
          <w:u w:val="none"/>
        </w:rPr>
        <w:t>低一高</w:t>
      </w:r>
      <w:r>
        <w:rPr>
          <w:rFonts w:hint="eastAsia" w:ascii="仿宋_GB2312" w:hAnsi="仿宋_GB2312" w:eastAsia="仿宋_GB2312" w:cs="仿宋_GB2312"/>
          <w:color w:val="auto"/>
          <w:sz w:val="32"/>
          <w:highlight w:val="none"/>
          <w:u w:val="none"/>
          <w:lang w:eastAsia="zh-CN"/>
        </w:rPr>
        <w:t>”</w:t>
      </w:r>
      <w:r>
        <w:rPr>
          <w:rFonts w:hint="eastAsia" w:ascii="仿宋_GB2312" w:hAnsi="仿宋_GB2312" w:eastAsia="仿宋_GB2312" w:cs="仿宋_GB2312"/>
          <w:color w:val="auto"/>
          <w:sz w:val="32"/>
          <w:highlight w:val="none"/>
          <w:u w:val="none"/>
        </w:rPr>
        <w:t>（低投资、低成本、低能耗、高效率）的典型地区适用技术。</w:t>
      </w:r>
      <w:r>
        <w:rPr>
          <w:rFonts w:hint="eastAsia" w:ascii="仿宋_GB2312" w:hAnsi="仿宋_GB2312" w:eastAsia="仿宋_GB2312" w:cs="仿宋_GB2312"/>
          <w:color w:val="auto"/>
          <w:sz w:val="32"/>
          <w:szCs w:val="32"/>
          <w:u w:val="none"/>
          <w:lang w:eastAsia="zh-CN"/>
        </w:rPr>
        <w:t>严格</w:t>
      </w:r>
      <w:r>
        <w:rPr>
          <w:rFonts w:hint="eastAsia" w:ascii="仿宋_GB2312" w:hAnsi="仿宋_GB2312" w:eastAsia="仿宋_GB2312" w:cs="仿宋_GB2312"/>
          <w:color w:val="auto"/>
          <w:sz w:val="32"/>
          <w:szCs w:val="32"/>
          <w:u w:val="none"/>
          <w:shd w:val="clear" w:color="auto" w:fill="auto"/>
          <w:lang w:eastAsia="zh-CN"/>
        </w:rPr>
        <w:t>执行《</w:t>
      </w:r>
      <w:r>
        <w:rPr>
          <w:rFonts w:hint="eastAsia" w:ascii="仿宋_GB2312" w:hAnsi="仿宋_GB2312" w:eastAsia="仿宋_GB2312" w:cs="仿宋_GB2312"/>
          <w:color w:val="auto"/>
          <w:sz w:val="32"/>
          <w:szCs w:val="32"/>
          <w:u w:val="none"/>
          <w:shd w:val="clear" w:color="auto" w:fill="auto"/>
        </w:rPr>
        <w:t>广西农村生活污水治理项目验收细则</w:t>
      </w:r>
      <w:r>
        <w:rPr>
          <w:rFonts w:hint="eastAsia" w:ascii="仿宋_GB2312" w:hAnsi="仿宋_GB2312" w:eastAsia="仿宋_GB2312" w:cs="仿宋_GB2312"/>
          <w:color w:val="auto"/>
          <w:sz w:val="32"/>
          <w:szCs w:val="32"/>
          <w:u w:val="none"/>
          <w:shd w:val="clear" w:color="auto" w:fill="auto"/>
          <w:lang w:eastAsia="zh-CN"/>
        </w:rPr>
        <w:t>》</w:t>
      </w:r>
      <w:r>
        <w:rPr>
          <w:rFonts w:hint="eastAsia" w:ascii="仿宋_GB2312" w:hAnsi="仿宋_GB2312" w:eastAsia="仿宋_GB2312" w:cs="仿宋_GB2312"/>
          <w:color w:val="auto"/>
          <w:sz w:val="32"/>
          <w:szCs w:val="32"/>
          <w:u w:val="none"/>
          <w:shd w:val="clear" w:color="auto" w:fill="auto"/>
        </w:rPr>
        <w:t>，提高设施建设的专业化、规范化水平</w:t>
      </w:r>
      <w:r>
        <w:rPr>
          <w:rFonts w:hint="eastAsia" w:ascii="仿宋_GB2312" w:hAnsi="仿宋_GB2312" w:eastAsia="仿宋_GB2312" w:cs="仿宋_GB2312"/>
          <w:color w:val="auto"/>
          <w:sz w:val="32"/>
          <w:szCs w:val="32"/>
          <w:u w:val="none"/>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bookmarkStart w:id="53" w:name="_Toc10640"/>
      <w:bookmarkStart w:id="54" w:name="_Toc10670"/>
      <w:bookmarkStart w:id="55" w:name="_Toc10921"/>
      <w:bookmarkStart w:id="56" w:name="_Toc27019"/>
      <w:r>
        <w:rPr>
          <w:rFonts w:hint="eastAsia" w:ascii="楷体_GB2312" w:hAnsi="楷体_GB2312" w:eastAsia="楷体_GB2312" w:cs="楷体_GB2312"/>
          <w:b w:val="0"/>
          <w:bCs/>
          <w:color w:val="auto"/>
          <w:szCs w:val="36"/>
          <w:highlight w:val="none"/>
          <w:lang w:eastAsia="zh-CN"/>
        </w:rPr>
        <w:t>（五）完善机制</w:t>
      </w:r>
      <w:r>
        <w:rPr>
          <w:rFonts w:hint="eastAsia" w:ascii="楷体_GB2312" w:hAnsi="楷体_GB2312" w:eastAsia="楷体_GB2312" w:cs="楷体_GB2312"/>
          <w:b w:val="0"/>
          <w:bCs/>
          <w:color w:val="auto"/>
          <w:szCs w:val="36"/>
          <w:highlight w:val="none"/>
          <w:lang w:val="en-US" w:eastAsia="zh-CN"/>
        </w:rPr>
        <w:t>，强化运维管理</w:t>
      </w:r>
      <w:bookmarkEnd w:id="53"/>
      <w:bookmarkEnd w:id="54"/>
      <w:bookmarkEnd w:id="55"/>
      <w:bookmarkEnd w:id="56"/>
    </w:p>
    <w:p>
      <w:pPr>
        <w:pStyle w:val="10"/>
        <w:spacing w:line="540" w:lineRule="exact"/>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lang w:eastAsia="zh-CN"/>
        </w:rPr>
        <w:t>按照</w:t>
      </w:r>
      <w:r>
        <w:rPr>
          <w:rFonts w:hint="eastAsia" w:ascii="仿宋_GB2312" w:hAnsi="仿宋_GB2312" w:eastAsia="仿宋_GB2312" w:cs="仿宋_GB2312"/>
          <w:color w:val="auto"/>
          <w:sz w:val="32"/>
          <w:highlight w:val="none"/>
        </w:rPr>
        <w:t>《广西农村生活污水处理设施运行维护管理办法（试行）》</w:t>
      </w:r>
      <w:r>
        <w:rPr>
          <w:rFonts w:hint="eastAsia" w:ascii="仿宋_GB2312" w:hAnsi="仿宋_GB2312" w:eastAsia="仿宋_GB2312" w:cs="仿宋_GB2312"/>
          <w:color w:val="auto"/>
          <w:sz w:val="32"/>
          <w:highlight w:val="none"/>
          <w:lang w:eastAsia="zh-CN"/>
        </w:rPr>
        <w:t>规定，结合各地实际，明确设施运维管理主体、建立资金保障机制、加强运维监管、保障设施稳定运行。</w:t>
      </w:r>
      <w:r>
        <w:rPr>
          <w:rFonts w:hint="eastAsia" w:ascii="仿宋_GB2312" w:hAnsi="仿宋_GB2312" w:eastAsia="仿宋_GB2312" w:cs="仿宋_GB2312"/>
          <w:color w:val="auto"/>
          <w:sz w:val="32"/>
          <w:highlight w:val="none"/>
        </w:rPr>
        <w:t>运维主管部门应建立第三方专业机构评价制度，加强对第三方运维单位的监督考核</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考核结果作为拨付运行维护经费的重要依据。县</w:t>
      </w:r>
      <w:r>
        <w:rPr>
          <w:rFonts w:hint="eastAsia" w:ascii="仿宋_GB2312" w:hAnsi="仿宋_GB2312" w:eastAsia="仿宋_GB2312" w:cs="仿宋_GB2312"/>
          <w:color w:val="auto"/>
          <w:sz w:val="32"/>
          <w:highlight w:val="none"/>
          <w:lang w:eastAsia="zh-CN"/>
        </w:rPr>
        <w:t>区</w:t>
      </w:r>
      <w:r>
        <w:rPr>
          <w:rFonts w:hint="eastAsia" w:ascii="仿宋_GB2312" w:hAnsi="仿宋_GB2312" w:eastAsia="仿宋_GB2312" w:cs="仿宋_GB2312"/>
          <w:color w:val="auto"/>
          <w:sz w:val="32"/>
          <w:highlight w:val="none"/>
        </w:rPr>
        <w:t>人民政府</w:t>
      </w:r>
      <w:r>
        <w:rPr>
          <w:rFonts w:hint="eastAsia" w:ascii="仿宋_GB2312" w:hAnsi="仿宋_GB2312" w:eastAsia="仿宋_GB2312" w:cs="仿宋_GB2312"/>
          <w:color w:val="auto"/>
          <w:sz w:val="32"/>
          <w:highlight w:val="none"/>
          <w:lang w:eastAsia="zh-CN"/>
        </w:rPr>
        <w:t>、新区管委会应</w:t>
      </w:r>
      <w:r>
        <w:rPr>
          <w:rFonts w:hint="eastAsia" w:ascii="仿宋_GB2312" w:hAnsi="仿宋_GB2312" w:eastAsia="仿宋_GB2312" w:cs="仿宋_GB2312"/>
          <w:color w:val="auto"/>
          <w:sz w:val="32"/>
          <w:highlight w:val="none"/>
        </w:rPr>
        <w:t>对乡镇人民政府自行运维管理情况进行考核。</w:t>
      </w:r>
      <w:r>
        <w:rPr>
          <w:rFonts w:hint="eastAsia" w:ascii="仿宋_GB2312" w:hAnsi="仿宋_GB2312" w:eastAsia="仿宋_GB2312" w:cs="仿宋_GB2312"/>
          <w:color w:val="auto"/>
          <w:sz w:val="32"/>
          <w:highlight w:val="none"/>
          <w:lang w:eastAsia="zh-CN"/>
        </w:rPr>
        <w:t>县区、新区应</w:t>
      </w:r>
      <w:r>
        <w:rPr>
          <w:rFonts w:hint="eastAsia" w:ascii="仿宋_GB2312" w:hAnsi="仿宋_GB2312" w:eastAsia="仿宋_GB2312" w:cs="仿宋_GB2312"/>
          <w:color w:val="auto"/>
          <w:sz w:val="32"/>
          <w:highlight w:val="none"/>
        </w:rPr>
        <w:t>出台农村生活污水</w:t>
      </w:r>
      <w:r>
        <w:rPr>
          <w:rFonts w:hint="eastAsia" w:ascii="仿宋_GB2312" w:hAnsi="仿宋_GB2312" w:eastAsia="仿宋_GB2312" w:cs="仿宋_GB2312"/>
          <w:color w:val="auto"/>
          <w:sz w:val="32"/>
          <w:highlight w:val="none"/>
          <w:lang w:eastAsia="zh-CN"/>
        </w:rPr>
        <w:t>处理</w:t>
      </w:r>
      <w:r>
        <w:rPr>
          <w:rFonts w:hint="eastAsia" w:ascii="仿宋_GB2312" w:hAnsi="仿宋_GB2312" w:eastAsia="仿宋_GB2312" w:cs="仿宋_GB2312"/>
          <w:color w:val="auto"/>
          <w:sz w:val="32"/>
          <w:highlight w:val="none"/>
        </w:rPr>
        <w:t>设施运行维护考核管理办法。定期与不定期开展监督检查，分级考核。建立运维管理主体移交制度，充分发挥生态环境部门监管主体作用。对于生态环境部门新建农村生活污水处理设施，竣工验收后需交至当地政府，明确运维管理主体；对于生态环境部门已建农村生活污水处理设施，按照移交标准，达标的设施应</w:t>
      </w:r>
      <w:r>
        <w:rPr>
          <w:rFonts w:hint="eastAsia" w:ascii="仿宋_GB2312" w:hAnsi="仿宋_GB2312" w:eastAsia="仿宋_GB2312" w:cs="仿宋_GB2312"/>
          <w:color w:val="auto"/>
          <w:sz w:val="32"/>
          <w:highlight w:val="none"/>
          <w:lang w:eastAsia="zh-CN"/>
        </w:rPr>
        <w:t>及时</w:t>
      </w:r>
      <w:r>
        <w:rPr>
          <w:rFonts w:hint="eastAsia" w:ascii="仿宋_GB2312" w:hAnsi="仿宋_GB2312" w:eastAsia="仿宋_GB2312" w:cs="仿宋_GB2312"/>
          <w:color w:val="auto"/>
          <w:sz w:val="32"/>
          <w:highlight w:val="none"/>
        </w:rPr>
        <w:t>向当地政府申请移交至运维管理主体，未达标的设施应整改达标后移交。</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u w:val="none"/>
          <w:lang w:val="en-US" w:eastAsia="zh-CN"/>
        </w:rPr>
      </w:pPr>
      <w:bookmarkStart w:id="57" w:name="_Toc4641"/>
      <w:bookmarkStart w:id="58" w:name="_Toc15119"/>
      <w:bookmarkStart w:id="59" w:name="_Toc26146"/>
      <w:bookmarkStart w:id="60" w:name="_Toc26942"/>
      <w:r>
        <w:rPr>
          <w:rFonts w:hint="eastAsia" w:ascii="楷体_GB2312" w:hAnsi="楷体_GB2312" w:eastAsia="楷体_GB2312" w:cs="楷体_GB2312"/>
          <w:b w:val="0"/>
          <w:bCs/>
          <w:color w:val="auto"/>
          <w:szCs w:val="36"/>
          <w:highlight w:val="none"/>
          <w:u w:val="none"/>
          <w:lang w:eastAsia="zh-CN"/>
        </w:rPr>
        <w:t>（六）控源截污</w:t>
      </w:r>
      <w:r>
        <w:rPr>
          <w:rFonts w:hint="eastAsia" w:ascii="楷体_GB2312" w:hAnsi="楷体_GB2312" w:eastAsia="楷体_GB2312" w:cs="楷体_GB2312"/>
          <w:b w:val="0"/>
          <w:bCs/>
          <w:color w:val="auto"/>
          <w:szCs w:val="36"/>
          <w:highlight w:val="none"/>
          <w:u w:val="none"/>
          <w:lang w:val="en-US" w:eastAsia="zh-CN"/>
        </w:rPr>
        <w:t>，统筹农村黑臭水体治理</w:t>
      </w:r>
      <w:bookmarkEnd w:id="57"/>
      <w:bookmarkEnd w:id="58"/>
      <w:bookmarkEnd w:id="59"/>
      <w:bookmarkEnd w:id="60"/>
    </w:p>
    <w:p>
      <w:pPr>
        <w:bidi w:val="0"/>
        <w:spacing w:line="540" w:lineRule="exact"/>
        <w:ind w:firstLine="640"/>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按照分级管理、分类治理、分期推进的思路，推进农村黑臭水体治理工作。</w:t>
      </w:r>
      <w:r>
        <w:rPr>
          <w:rFonts w:hint="eastAsia" w:ascii="仿宋_GB2312" w:hAnsi="仿宋_GB2312" w:eastAsia="仿宋_GB2312" w:cs="仿宋_GB2312"/>
          <w:color w:val="auto"/>
          <w:highlight w:val="none"/>
          <w:u w:val="none"/>
          <w:lang w:eastAsia="zh-CN"/>
        </w:rPr>
        <w:t>出台柳州市</w:t>
      </w:r>
      <w:r>
        <w:rPr>
          <w:rFonts w:hint="eastAsia" w:ascii="仿宋_GB2312" w:hAnsi="仿宋_GB2312" w:eastAsia="仿宋_GB2312" w:cs="仿宋_GB2312"/>
          <w:color w:val="auto"/>
          <w:highlight w:val="none"/>
          <w:u w:val="none"/>
        </w:rPr>
        <w:t>农村黑臭水体治理实施方案</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到2025年底，全</w:t>
      </w:r>
      <w:r>
        <w:rPr>
          <w:rFonts w:hint="eastAsia" w:ascii="仿宋_GB2312" w:hAnsi="仿宋_GB2312" w:eastAsia="仿宋_GB2312" w:cs="仿宋_GB2312"/>
          <w:color w:val="auto"/>
          <w:highlight w:val="none"/>
          <w:u w:val="none"/>
          <w:lang w:eastAsia="zh-CN"/>
        </w:rPr>
        <w:t>市</w:t>
      </w:r>
      <w:r>
        <w:rPr>
          <w:rFonts w:hint="eastAsia" w:ascii="仿宋_GB2312" w:hAnsi="仿宋_GB2312" w:eastAsia="仿宋_GB2312" w:cs="仿宋_GB2312"/>
          <w:color w:val="auto"/>
          <w:sz w:val="32"/>
          <w:szCs w:val="22"/>
          <w:highlight w:val="none"/>
          <w:u w:val="none"/>
          <w:lang w:eastAsia="zh-CN"/>
        </w:rPr>
        <w:t>基本消除较大面积的农村黑臭水体</w:t>
      </w:r>
      <w:r>
        <w:rPr>
          <w:rFonts w:hint="eastAsia" w:ascii="仿宋_GB2312" w:hAnsi="仿宋_GB2312" w:eastAsia="仿宋_GB2312" w:cs="仿宋_GB2312"/>
          <w:color w:val="auto"/>
          <w:highlight w:val="none"/>
          <w:u w:val="none"/>
        </w:rPr>
        <w:t>。优先治理国家监管农村黑臭水体</w:t>
      </w:r>
      <w:r>
        <w:rPr>
          <w:rFonts w:hint="eastAsia" w:ascii="仿宋_GB2312" w:hAnsi="仿宋_GB2312" w:eastAsia="仿宋_GB2312" w:cs="仿宋_GB2312"/>
          <w:color w:val="auto"/>
          <w:highlight w:val="none"/>
          <w:u w:val="none"/>
          <w:lang w:eastAsia="zh-CN"/>
        </w:rPr>
        <w:t>及</w:t>
      </w:r>
      <w:r>
        <w:rPr>
          <w:rFonts w:hint="eastAsia" w:ascii="仿宋_GB2312" w:hAnsi="仿宋_GB2312" w:eastAsia="仿宋_GB2312" w:cs="仿宋_GB2312"/>
          <w:color w:val="auto"/>
          <w:highlight w:val="none"/>
          <w:u w:val="none"/>
        </w:rPr>
        <w:t>较大面积农村黑臭水体</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根据实际情况</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统筹推进农村黑臭水体治理与农村生活污水、畜禽粪污、水产养殖污染、种植业面源污染、改厕等治理工作</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强化治理措施衔接整合</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从源头控制水体黑臭。根据不同类型的</w:t>
      </w:r>
      <w:r>
        <w:rPr>
          <w:rFonts w:hint="eastAsia" w:ascii="仿宋_GB2312" w:hAnsi="仿宋_GB2312" w:eastAsia="仿宋_GB2312" w:cs="仿宋_GB2312"/>
          <w:color w:val="auto"/>
          <w:highlight w:val="none"/>
          <w:u w:val="none"/>
          <w:lang w:eastAsia="zh-CN"/>
        </w:rPr>
        <w:t>农村</w:t>
      </w:r>
      <w:r>
        <w:rPr>
          <w:rFonts w:hint="eastAsia" w:ascii="仿宋_GB2312" w:hAnsi="仿宋_GB2312" w:eastAsia="仿宋_GB2312" w:cs="仿宋_GB2312"/>
          <w:color w:val="auto"/>
          <w:highlight w:val="none"/>
          <w:u w:val="none"/>
        </w:rPr>
        <w:t>黑臭水体，综合采取控源截污、清淤疏浚、水体净化等方式，推进农村黑臭水体治理，解决农村突出水环境问题。有黑臭水体治理任务的县区、新区将本行政区域内农村黑臭水体</w:t>
      </w:r>
      <w:r>
        <w:rPr>
          <w:rFonts w:hint="eastAsia" w:ascii="仿宋_GB2312" w:hAnsi="仿宋_GB2312" w:eastAsia="仿宋_GB2312" w:cs="仿宋_GB2312"/>
          <w:color w:val="auto"/>
          <w:highlight w:val="none"/>
          <w:u w:val="none"/>
          <w:lang w:eastAsia="zh-CN"/>
        </w:rPr>
        <w:t>清单和</w:t>
      </w:r>
      <w:r>
        <w:rPr>
          <w:rFonts w:hint="eastAsia" w:ascii="仿宋_GB2312" w:hAnsi="仿宋_GB2312" w:eastAsia="仿宋_GB2312" w:cs="仿宋_GB2312"/>
          <w:color w:val="auto"/>
          <w:highlight w:val="none"/>
          <w:u w:val="none"/>
        </w:rPr>
        <w:t>治理进展通过政府网站向社会公开</w:t>
      </w:r>
      <w:r>
        <w:rPr>
          <w:rFonts w:hint="eastAsia" w:ascii="仿宋_GB2312" w:hAnsi="仿宋_GB2312" w:eastAsia="仿宋_GB2312" w:cs="仿宋_GB2312"/>
          <w:color w:val="auto"/>
          <w:highlight w:val="none"/>
          <w:u w:val="none"/>
          <w:lang w:eastAsia="zh-CN"/>
        </w:rPr>
        <w:t>。加强已</w:t>
      </w:r>
      <w:r>
        <w:rPr>
          <w:rFonts w:hint="eastAsia" w:ascii="仿宋_GB2312" w:hAnsi="仿宋_GB2312" w:eastAsia="仿宋_GB2312" w:cs="仿宋_GB2312"/>
          <w:color w:val="auto"/>
          <w:highlight w:val="none"/>
          <w:u w:val="none"/>
        </w:rPr>
        <w:t>完成治理农村黑臭水体的动态监测评估</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强化农村黑臭水体治理设施运维管理机制</w:t>
      </w:r>
      <w:r>
        <w:rPr>
          <w:rFonts w:hint="eastAsia" w:ascii="仿宋_GB2312" w:hAnsi="仿宋_GB2312" w:eastAsia="仿宋_GB2312" w:cs="仿宋_GB2312"/>
          <w:color w:val="auto"/>
          <w:highlight w:val="none"/>
          <w:u w:val="none"/>
          <w:lang w:eastAsia="zh-CN"/>
        </w:rPr>
        <w:t>，对</w:t>
      </w:r>
      <w:r>
        <w:rPr>
          <w:rFonts w:hint="eastAsia" w:ascii="仿宋_GB2312" w:hAnsi="仿宋_GB2312" w:eastAsia="仿宋_GB2312" w:cs="仿宋_GB2312"/>
          <w:color w:val="auto"/>
          <w:highlight w:val="none"/>
          <w:u w:val="none"/>
        </w:rPr>
        <w:t>新发现的</w:t>
      </w:r>
      <w:r>
        <w:rPr>
          <w:rFonts w:hint="eastAsia" w:ascii="仿宋_GB2312" w:hAnsi="仿宋_GB2312" w:eastAsia="仿宋_GB2312" w:cs="仿宋_GB2312"/>
          <w:color w:val="auto"/>
          <w:highlight w:val="none"/>
          <w:u w:val="none"/>
          <w:lang w:eastAsia="zh-CN"/>
        </w:rPr>
        <w:t>农村</w:t>
      </w:r>
      <w:r>
        <w:rPr>
          <w:rFonts w:hint="eastAsia" w:ascii="仿宋_GB2312" w:hAnsi="仿宋_GB2312" w:eastAsia="仿宋_GB2312" w:cs="仿宋_GB2312"/>
          <w:color w:val="auto"/>
          <w:highlight w:val="none"/>
          <w:u w:val="none"/>
        </w:rPr>
        <w:t>黑臭水体</w:t>
      </w:r>
      <w:r>
        <w:rPr>
          <w:rFonts w:hint="eastAsia" w:ascii="仿宋_GB2312" w:hAnsi="仿宋_GB2312" w:eastAsia="仿宋_GB2312" w:cs="仿宋_GB2312"/>
          <w:color w:val="auto"/>
          <w:highlight w:val="none"/>
          <w:u w:val="none"/>
          <w:lang w:eastAsia="zh-CN"/>
        </w:rPr>
        <w:t>实行</w:t>
      </w:r>
      <w:r>
        <w:rPr>
          <w:rFonts w:hint="eastAsia" w:ascii="仿宋_GB2312" w:hAnsi="仿宋_GB2312" w:eastAsia="仿宋_GB2312" w:cs="仿宋_GB2312"/>
          <w:color w:val="auto"/>
          <w:highlight w:val="none"/>
          <w:u w:val="none"/>
        </w:rPr>
        <w:t>动态管理。</w:t>
      </w:r>
    </w:p>
    <w:bookmarkEnd w:id="41"/>
    <w:bookmarkEnd w:id="42"/>
    <w:bookmarkEnd w:id="43"/>
    <w:bookmarkEnd w:id="44"/>
    <w:p>
      <w:pPr>
        <w:pStyle w:val="5"/>
        <w:numPr>
          <w:ilvl w:val="0"/>
          <w:numId w:val="0"/>
        </w:numPr>
        <w:spacing w:line="540" w:lineRule="exact"/>
        <w:ind w:right="23" w:firstLine="320" w:firstLineChars="100"/>
        <w:jc w:val="left"/>
        <w:rPr>
          <w:rFonts w:hint="eastAsia" w:ascii="黑体" w:hAnsi="黑体" w:eastAsia="黑体" w:cs="黑体"/>
          <w:b w:val="0"/>
          <w:bCs/>
          <w:color w:val="auto"/>
          <w:highlight w:val="none"/>
          <w:u w:val="none"/>
          <w:lang w:val="en-US" w:eastAsia="zh-CN"/>
        </w:rPr>
      </w:pPr>
      <w:bookmarkStart w:id="61" w:name="_Toc3738"/>
      <w:bookmarkStart w:id="62" w:name="_Toc25847"/>
      <w:bookmarkStart w:id="63" w:name="_Toc15909_WPSOffice_Level2"/>
      <w:bookmarkStart w:id="64" w:name="_Toc19293"/>
      <w:bookmarkStart w:id="65" w:name="_Toc15553"/>
      <w:bookmarkStart w:id="66" w:name="_Toc11069"/>
      <w:bookmarkStart w:id="67" w:name="_Toc31952"/>
      <w:bookmarkStart w:id="68" w:name="_Toc19698"/>
      <w:r>
        <w:rPr>
          <w:rFonts w:hint="eastAsia" w:ascii="黑体" w:hAnsi="黑体" w:cs="黑体"/>
          <w:b w:val="0"/>
          <w:bCs/>
          <w:color w:val="auto"/>
          <w:highlight w:val="none"/>
          <w:u w:val="none"/>
          <w:lang w:val="en-US" w:eastAsia="zh-CN"/>
        </w:rPr>
        <w:t>三</w:t>
      </w:r>
      <w:r>
        <w:rPr>
          <w:rFonts w:hint="eastAsia" w:ascii="黑体" w:hAnsi="黑体" w:eastAsia="黑体" w:cs="黑体"/>
          <w:b w:val="0"/>
          <w:bCs/>
          <w:color w:val="auto"/>
          <w:highlight w:val="none"/>
          <w:u w:val="none"/>
          <w:lang w:val="en-US" w:eastAsia="zh-CN"/>
        </w:rPr>
        <w:t>、保障措施</w:t>
      </w:r>
    </w:p>
    <w:p>
      <w:pPr>
        <w:pStyle w:val="6"/>
        <w:widowControl/>
        <w:numPr>
          <w:ilvl w:val="0"/>
          <w:numId w:val="0"/>
        </w:numPr>
        <w:autoSpaceDE/>
        <w:autoSpaceDN/>
        <w:spacing w:line="540" w:lineRule="exact"/>
        <w:ind w:firstLine="642" w:firstLineChars="0"/>
        <w:rPr>
          <w:rFonts w:hint="eastAsia" w:ascii="楷体_GB2312" w:hAnsi="楷体_GB2312" w:eastAsia="楷体_GB2312" w:cs="楷体_GB2312"/>
          <w:b w:val="0"/>
          <w:bCs/>
          <w:color w:val="auto"/>
          <w:szCs w:val="36"/>
          <w:highlight w:val="none"/>
          <w:u w:val="none"/>
          <w:lang w:val="en-US" w:eastAsia="zh-CN"/>
        </w:rPr>
      </w:pPr>
      <w:r>
        <w:rPr>
          <w:rStyle w:val="18"/>
          <w:rFonts w:hint="eastAsia" w:ascii="楷体_GB2312" w:hAnsi="楷体_GB2312" w:eastAsia="楷体_GB2312" w:cs="楷体_GB2312"/>
          <w:b w:val="0"/>
          <w:bCs/>
          <w:i w:val="0"/>
          <w:caps w:val="0"/>
          <w:color w:val="auto"/>
          <w:spacing w:val="0"/>
          <w:sz w:val="32"/>
          <w:szCs w:val="36"/>
          <w:highlight w:val="none"/>
          <w:u w:val="none"/>
          <w:lang w:eastAsia="zh-CN"/>
        </w:rPr>
        <w:t>（</w:t>
      </w:r>
      <w:r>
        <w:rPr>
          <w:rStyle w:val="18"/>
          <w:rFonts w:hint="eastAsia" w:ascii="楷体_GB2312" w:hAnsi="楷体_GB2312" w:eastAsia="楷体_GB2312" w:cs="楷体_GB2312"/>
          <w:b w:val="0"/>
          <w:bCs/>
          <w:i w:val="0"/>
          <w:caps w:val="0"/>
          <w:color w:val="auto"/>
          <w:spacing w:val="0"/>
          <w:sz w:val="32"/>
          <w:szCs w:val="36"/>
          <w:highlight w:val="none"/>
          <w:u w:val="none"/>
        </w:rPr>
        <w:t>一）强化组织领导</w:t>
      </w:r>
      <w:r>
        <w:rPr>
          <w:rStyle w:val="18"/>
          <w:rFonts w:hint="eastAsia" w:ascii="楷体_GB2312" w:hAnsi="楷体_GB2312" w:eastAsia="楷体_GB2312" w:cs="楷体_GB2312"/>
          <w:b w:val="0"/>
          <w:bCs/>
          <w:i w:val="0"/>
          <w:caps w:val="0"/>
          <w:color w:val="auto"/>
          <w:spacing w:val="0"/>
          <w:sz w:val="32"/>
          <w:szCs w:val="36"/>
          <w:highlight w:val="none"/>
          <w:u w:val="none"/>
          <w:lang w:eastAsia="zh-CN"/>
        </w:rPr>
        <w:t>，</w:t>
      </w:r>
      <w:r>
        <w:rPr>
          <w:rFonts w:hint="eastAsia" w:ascii="楷体_GB2312" w:hAnsi="楷体_GB2312" w:eastAsia="楷体_GB2312" w:cs="楷体_GB2312"/>
          <w:b w:val="0"/>
          <w:bCs/>
          <w:color w:val="auto"/>
          <w:szCs w:val="36"/>
          <w:highlight w:val="none"/>
          <w:u w:val="none"/>
          <w:lang w:val="en-US" w:eastAsia="zh-CN"/>
        </w:rPr>
        <w:t>落实各方责任</w:t>
      </w:r>
    </w:p>
    <w:p>
      <w:pPr>
        <w:bidi w:val="0"/>
        <w:spacing w:line="540" w:lineRule="exact"/>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强化组织领导。</w:t>
      </w:r>
      <w:r>
        <w:rPr>
          <w:rFonts w:hint="eastAsia" w:ascii="仿宋_GB2312" w:hAnsi="仿宋_GB2312" w:eastAsia="仿宋_GB2312" w:cs="仿宋_GB2312"/>
          <w:color w:val="auto"/>
          <w:highlight w:val="none"/>
          <w:u w:val="none"/>
          <w:lang w:eastAsia="zh-CN"/>
        </w:rPr>
        <w:t>各级</w:t>
      </w:r>
      <w:r>
        <w:rPr>
          <w:rFonts w:hint="eastAsia" w:ascii="仿宋_GB2312" w:hAnsi="仿宋_GB2312" w:eastAsia="仿宋_GB2312" w:cs="仿宋_GB2312"/>
          <w:color w:val="auto"/>
          <w:highlight w:val="none"/>
          <w:u w:val="none"/>
        </w:rPr>
        <w:t>党委和政府负责建立健全工作推进机制，统筹协调、监督考核</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县级党委、政府作为责任主体，负责项目申报和组织实施、</w:t>
      </w:r>
      <w:r>
        <w:rPr>
          <w:rFonts w:hint="eastAsia" w:ascii="仿宋_GB2312" w:hAnsi="仿宋_GB2312" w:eastAsia="仿宋_GB2312" w:cs="仿宋_GB2312"/>
          <w:color w:val="auto"/>
          <w:highlight w:val="none"/>
          <w:u w:val="none"/>
          <w:lang w:eastAsia="zh-CN"/>
        </w:rPr>
        <w:t>运行维护</w:t>
      </w:r>
      <w:r>
        <w:rPr>
          <w:rFonts w:hint="eastAsia" w:ascii="仿宋_GB2312" w:hAnsi="仿宋_GB2312" w:eastAsia="仿宋_GB2312" w:cs="仿宋_GB2312"/>
          <w:color w:val="auto"/>
          <w:highlight w:val="none"/>
          <w:u w:val="none"/>
        </w:rPr>
        <w:t>等工作。乡镇党委、政府和村级党组织具体负责实施，保障辖区内项目建设质量和进度。村党组织负责做好宣传发动，提升农民环境保护意识。</w:t>
      </w:r>
    </w:p>
    <w:p>
      <w:pPr>
        <w:bidi w:val="0"/>
        <w:spacing w:line="540" w:lineRule="exact"/>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lang w:eastAsia="zh-CN"/>
        </w:rPr>
        <w:t>落实各方职责。</w:t>
      </w:r>
      <w:r>
        <w:rPr>
          <w:rFonts w:hint="eastAsia" w:ascii="仿宋_GB2312" w:hAnsi="仿宋_GB2312" w:eastAsia="仿宋_GB2312" w:cs="仿宋_GB2312"/>
          <w:color w:val="auto"/>
          <w:highlight w:val="none"/>
          <w:u w:val="none"/>
        </w:rPr>
        <w:t>将农村生活污水治理纳入全面推进乡村振兴统筹推进，</w:t>
      </w:r>
      <w:r>
        <w:rPr>
          <w:rFonts w:hint="eastAsia" w:ascii="仿宋_GB2312" w:hAnsi="仿宋_GB2312" w:eastAsia="仿宋_GB2312" w:cs="仿宋_GB2312"/>
          <w:color w:val="auto"/>
          <w:highlight w:val="none"/>
          <w:u w:val="none"/>
          <w:lang w:eastAsia="zh-CN"/>
        </w:rPr>
        <w:t>柳州市实施乡村振兴战略指挥部各成员单位统一思想，建立跨部门联动机制，加强部门配合，整合资源，共享信息，</w:t>
      </w:r>
      <w:r>
        <w:rPr>
          <w:rFonts w:hint="eastAsia" w:ascii="仿宋_GB2312" w:hAnsi="仿宋_GB2312" w:eastAsia="仿宋_GB2312" w:cs="仿宋_GB2312"/>
          <w:color w:val="auto"/>
          <w:highlight w:val="none"/>
          <w:u w:val="none"/>
        </w:rPr>
        <w:t>形成合力。</w:t>
      </w:r>
    </w:p>
    <w:p>
      <w:pPr>
        <w:spacing w:line="540" w:lineRule="exact"/>
        <w:rPr>
          <w:rFonts w:hint="eastAsia" w:ascii="仿宋_GB2312" w:hAnsi="仿宋_GB2312" w:eastAsia="仿宋_GB2312" w:cs="仿宋_GB2312"/>
          <w:i w:val="0"/>
          <w:caps w:val="0"/>
          <w:color w:val="auto"/>
          <w:spacing w:val="0"/>
          <w:sz w:val="32"/>
          <w:szCs w:val="22"/>
          <w:highlight w:val="none"/>
          <w:u w:val="none"/>
        </w:rPr>
      </w:pPr>
      <w:r>
        <w:rPr>
          <w:rFonts w:hint="eastAsia" w:ascii="仿宋_GB2312" w:hAnsi="仿宋_GB2312" w:eastAsia="仿宋_GB2312" w:cs="仿宋_GB2312"/>
          <w:i w:val="0"/>
          <w:caps w:val="0"/>
          <w:color w:val="auto"/>
          <w:spacing w:val="0"/>
          <w:sz w:val="32"/>
          <w:szCs w:val="22"/>
          <w:highlight w:val="none"/>
          <w:u w:val="none"/>
        </w:rPr>
        <w:t>市生态环境局负责统筹全市农村生活污水治理工作，</w:t>
      </w:r>
      <w:r>
        <w:rPr>
          <w:rFonts w:hint="eastAsia" w:eastAsia="仿宋_GB2312" w:cs="Times New Roman"/>
          <w:color w:val="auto"/>
          <w:sz w:val="32"/>
          <w:szCs w:val="32"/>
          <w:u w:val="none"/>
          <w:lang w:eastAsia="zh-CN"/>
        </w:rPr>
        <w:t>联合相关部门推动</w:t>
      </w:r>
      <w:r>
        <w:rPr>
          <w:rFonts w:hint="eastAsia" w:ascii="Times New Roman" w:hAnsi="Times New Roman" w:eastAsia="仿宋_GB2312" w:cs="Times New Roman"/>
          <w:color w:val="auto"/>
          <w:sz w:val="32"/>
          <w:szCs w:val="32"/>
          <w:u w:val="none"/>
        </w:rPr>
        <w:t>农村生活污水治理与卫生改厕、农村黑臭水体整治工作衔接，加强农村生活污水治理设施运行管理。</w:t>
      </w:r>
      <w:r>
        <w:rPr>
          <w:rFonts w:hint="eastAsia" w:ascii="仿宋_GB2312" w:hAnsi="仿宋_GB2312" w:eastAsia="仿宋_GB2312" w:cs="仿宋_GB2312"/>
          <w:i w:val="0"/>
          <w:caps w:val="0"/>
          <w:color w:val="auto"/>
          <w:spacing w:val="0"/>
          <w:sz w:val="32"/>
          <w:szCs w:val="22"/>
          <w:highlight w:val="none"/>
          <w:u w:val="none"/>
        </w:rPr>
        <w:t>做好全市农村生活污水治理工作协调、任务分解、督促落实及效果评估工作</w:t>
      </w:r>
      <w:r>
        <w:rPr>
          <w:rFonts w:hint="eastAsia" w:ascii="仿宋_GB2312" w:hAnsi="仿宋_GB2312" w:eastAsia="仿宋_GB2312" w:cs="仿宋_GB2312"/>
          <w:i w:val="0"/>
          <w:caps w:val="0"/>
          <w:color w:val="auto"/>
          <w:spacing w:val="0"/>
          <w:sz w:val="32"/>
          <w:szCs w:val="22"/>
          <w:highlight w:val="none"/>
          <w:u w:val="none"/>
          <w:lang w:eastAsia="zh-CN"/>
        </w:rPr>
        <w:t>。</w:t>
      </w:r>
    </w:p>
    <w:p>
      <w:pPr>
        <w:keepNext w:val="0"/>
        <w:keepLines w:val="0"/>
        <w:widowControl/>
        <w:suppressLineNumbers w:val="0"/>
        <w:jc w:val="left"/>
        <w:rPr>
          <w:u w:val="none"/>
        </w:rPr>
      </w:pPr>
      <w:r>
        <w:rPr>
          <w:rFonts w:hint="eastAsia" w:ascii="仿宋_GB2312" w:hAnsi="仿宋_GB2312" w:eastAsia="仿宋_GB2312" w:cs="仿宋_GB2312"/>
          <w:i w:val="0"/>
          <w:caps w:val="0"/>
          <w:color w:val="auto"/>
          <w:spacing w:val="0"/>
          <w:sz w:val="32"/>
          <w:szCs w:val="22"/>
          <w:highlight w:val="none"/>
          <w:u w:val="none"/>
        </w:rPr>
        <w:t>市农业农村局</w:t>
      </w:r>
      <w:r>
        <w:rPr>
          <w:rFonts w:hint="eastAsia" w:ascii="仿宋_GB2312" w:hAnsi="仿宋_GB2312" w:eastAsia="仿宋_GB2312" w:cs="仿宋_GB2312"/>
          <w:i w:val="0"/>
          <w:caps w:val="0"/>
          <w:color w:val="auto"/>
          <w:spacing w:val="0"/>
          <w:sz w:val="32"/>
          <w:szCs w:val="22"/>
          <w:highlight w:val="none"/>
          <w:u w:val="none"/>
          <w:lang w:eastAsia="zh-CN"/>
        </w:rPr>
        <w:t>负责开展农村无害化卫生厕所改造，因地制宜</w:t>
      </w:r>
      <w:r>
        <w:rPr>
          <w:rFonts w:hint="eastAsia" w:ascii="Times New Roman" w:hAnsi="Times New Roman" w:eastAsia="仿宋_GB2312" w:cs="Times New Roman"/>
          <w:color w:val="auto"/>
          <w:sz w:val="32"/>
          <w:szCs w:val="32"/>
          <w:u w:val="none"/>
        </w:rPr>
        <w:t>推广“三个两、无动力、低成本”农村黑灰污</w:t>
      </w:r>
      <w:r>
        <w:rPr>
          <w:rFonts w:hint="eastAsia" w:ascii="仿宋_GB2312" w:hAnsi="仿宋_GB2312" w:eastAsia="仿宋_GB2312" w:cs="仿宋_GB2312"/>
          <w:color w:val="auto"/>
          <w:sz w:val="32"/>
          <w:szCs w:val="22"/>
          <w:highlight w:val="none"/>
          <w:u w:val="none"/>
        </w:rPr>
        <w:t>水处理利用</w:t>
      </w:r>
      <w:r>
        <w:rPr>
          <w:rFonts w:hint="eastAsia" w:ascii="仿宋_GB2312" w:hAnsi="仿宋_GB2312" w:eastAsia="仿宋_GB2312" w:cs="仿宋_GB2312"/>
          <w:color w:val="auto"/>
          <w:sz w:val="32"/>
          <w:szCs w:val="22"/>
          <w:highlight w:val="none"/>
          <w:u w:val="none"/>
          <w:lang w:eastAsia="zh-CN"/>
        </w:rPr>
        <w:t>模式，加强</w:t>
      </w:r>
      <w:r>
        <w:rPr>
          <w:rFonts w:hint="eastAsia" w:ascii="仿宋_GB2312" w:hAnsi="仿宋_GB2312" w:eastAsia="仿宋_GB2312" w:cs="仿宋_GB2312"/>
          <w:color w:val="auto"/>
          <w:highlight w:val="none"/>
          <w:u w:val="none"/>
        </w:rPr>
        <w:t>粪污无害化处理和资源化利用</w:t>
      </w:r>
      <w:r>
        <w:rPr>
          <w:rFonts w:hint="eastAsia" w:ascii="仿宋_GB2312" w:hAnsi="仿宋_GB2312" w:eastAsia="仿宋_GB2312" w:cs="仿宋_GB2312"/>
          <w:i w:val="0"/>
          <w:caps w:val="0"/>
          <w:color w:val="auto"/>
          <w:spacing w:val="0"/>
          <w:sz w:val="32"/>
          <w:szCs w:val="22"/>
          <w:highlight w:val="none"/>
          <w:u w:val="none"/>
        </w:rPr>
        <w:t>。</w:t>
      </w:r>
      <w:r>
        <w:rPr>
          <w:rFonts w:hint="eastAsia" w:ascii="Times New Roman" w:hAnsi="Times New Roman" w:eastAsia="仿宋_GB2312" w:cs="Times New Roman"/>
          <w:color w:val="auto"/>
          <w:kern w:val="2"/>
          <w:sz w:val="32"/>
          <w:szCs w:val="32"/>
          <w:u w:val="none"/>
          <w:lang w:val="zh-TW" w:eastAsia="zh-CN" w:bidi="zh-TW"/>
        </w:rPr>
        <w:t>持续推进畜禽粪污处理利用设施能力建设，建立健全畜禽粪肥还田利用计划和利用</w:t>
      </w:r>
      <w:r>
        <w:rPr>
          <w:rFonts w:hint="eastAsia" w:ascii="仿宋_GB2312" w:hAnsi="仿宋_GB2312" w:eastAsia="仿宋_GB2312" w:cs="仿宋_GB2312"/>
          <w:i w:val="0"/>
          <w:caps w:val="0"/>
          <w:color w:val="auto"/>
          <w:spacing w:val="0"/>
          <w:kern w:val="0"/>
          <w:sz w:val="32"/>
          <w:szCs w:val="22"/>
          <w:highlight w:val="none"/>
          <w:u w:val="none"/>
          <w:shd w:val="clear" w:color="auto" w:fill="auto"/>
          <w:lang w:val="en-US" w:eastAsia="zh-CN" w:bidi="ar"/>
        </w:rPr>
        <w:t>，实现畜禽养殖废弃物源头减量、终端有效利用。</w:t>
      </w:r>
    </w:p>
    <w:p>
      <w:pPr>
        <w:spacing w:line="540" w:lineRule="exact"/>
        <w:jc w:val="left"/>
        <w:rPr>
          <w:rFonts w:hint="eastAsia" w:ascii="仿宋_GB2312" w:hAnsi="仿宋_GB2312" w:eastAsia="仿宋_GB2312" w:cs="仿宋_GB2312"/>
          <w:i w:val="0"/>
          <w:caps w:val="0"/>
          <w:color w:val="auto"/>
          <w:spacing w:val="0"/>
          <w:sz w:val="32"/>
          <w:szCs w:val="22"/>
          <w:highlight w:val="none"/>
          <w:u w:val="none"/>
          <w:lang w:bidi="ar"/>
        </w:rPr>
      </w:pPr>
      <w:r>
        <w:rPr>
          <w:rFonts w:hint="eastAsia" w:ascii="仿宋_GB2312" w:hAnsi="仿宋_GB2312" w:eastAsia="仿宋_GB2312" w:cs="仿宋_GB2312"/>
          <w:i w:val="0"/>
          <w:caps w:val="0"/>
          <w:color w:val="auto"/>
          <w:spacing w:val="0"/>
          <w:sz w:val="32"/>
          <w:szCs w:val="22"/>
          <w:highlight w:val="none"/>
          <w:u w:val="none"/>
        </w:rPr>
        <w:t>市住房城乡建设局负责统筹开展全市镇级污水处理厂及配套管网建设，在有条件的地区,推进镇级污水处理设施及管网向农村地区延伸，提高镇级污水处理厂运行效能。</w:t>
      </w:r>
    </w:p>
    <w:p>
      <w:pPr>
        <w:keepNext w:val="0"/>
        <w:keepLines w:val="0"/>
        <w:widowControl/>
        <w:suppressLineNumbers w:val="0"/>
        <w:spacing w:line="540" w:lineRule="exact"/>
        <w:jc w:val="left"/>
        <w:rPr>
          <w:rFonts w:hint="default" w:ascii="Times New Roman" w:hAnsi="Times New Roman" w:eastAsia="仿宋" w:cs="Times New Roman"/>
          <w:i w:val="0"/>
          <w:caps w:val="0"/>
          <w:color w:val="auto"/>
          <w:spacing w:val="0"/>
          <w:kern w:val="0"/>
          <w:sz w:val="32"/>
          <w:szCs w:val="32"/>
          <w:highlight w:val="none"/>
          <w:u w:val="none"/>
          <w:shd w:val="clear" w:color="auto" w:fill="auto"/>
          <w:lang w:val="en-US" w:eastAsia="zh-CN" w:bidi="ar"/>
        </w:rPr>
      </w:pPr>
      <w:r>
        <w:rPr>
          <w:rFonts w:hint="eastAsia" w:ascii="仿宋_GB2312" w:hAnsi="仿宋_GB2312" w:eastAsia="仿宋_GB2312" w:cs="仿宋_GB2312"/>
          <w:i w:val="0"/>
          <w:caps w:val="0"/>
          <w:color w:val="auto"/>
          <w:spacing w:val="0"/>
          <w:sz w:val="32"/>
          <w:szCs w:val="22"/>
          <w:highlight w:val="none"/>
          <w:u w:val="none"/>
          <w:lang w:eastAsia="zh-CN" w:bidi="ar"/>
        </w:rPr>
        <w:t>市</w:t>
      </w:r>
      <w:r>
        <w:rPr>
          <w:rFonts w:hint="default" w:ascii="Times New Roman" w:hAnsi="Times New Roman" w:eastAsia="仿宋" w:cs="Times New Roman"/>
          <w:i w:val="0"/>
          <w:caps w:val="0"/>
          <w:color w:val="auto"/>
          <w:spacing w:val="0"/>
          <w:sz w:val="32"/>
          <w:szCs w:val="32"/>
          <w:highlight w:val="none"/>
          <w:u w:val="none"/>
          <w:lang w:eastAsia="zh-CN" w:bidi="ar"/>
        </w:rPr>
        <w:t>乡村振兴局负责</w:t>
      </w:r>
      <w:r>
        <w:rPr>
          <w:rFonts w:hint="default" w:ascii="Times New Roman" w:hAnsi="Times New Roman" w:cs="Times New Roman"/>
          <w:color w:val="auto"/>
          <w:highlight w:val="none"/>
          <w:u w:val="none"/>
        </w:rPr>
        <w:t>将农村生活污水治理纳入全面推进乡村振兴统筹推进</w:t>
      </w:r>
      <w:r>
        <w:rPr>
          <w:rFonts w:hint="eastAsia" w:cs="Times New Roman"/>
          <w:color w:val="auto"/>
          <w:highlight w:val="none"/>
          <w:u w:val="none"/>
          <w:lang w:eastAsia="zh-CN"/>
        </w:rPr>
        <w:t>，</w:t>
      </w:r>
      <w:r>
        <w:rPr>
          <w:rFonts w:hint="eastAsia" w:ascii="Times New Roman" w:hAnsi="Times New Roman" w:eastAsia="仿宋" w:cs="Times New Roman"/>
          <w:i w:val="0"/>
          <w:caps w:val="0"/>
          <w:color w:val="auto"/>
          <w:spacing w:val="0"/>
          <w:kern w:val="0"/>
          <w:sz w:val="32"/>
          <w:szCs w:val="32"/>
          <w:highlight w:val="none"/>
          <w:u w:val="none"/>
          <w:shd w:val="clear" w:color="auto" w:fill="auto"/>
          <w:lang w:val="en-US" w:eastAsia="zh-CN" w:bidi="ar"/>
        </w:rPr>
        <w:t>协调</w:t>
      </w:r>
      <w:r>
        <w:rPr>
          <w:rFonts w:hint="eastAsia" w:cs="Times New Roman"/>
          <w:i w:val="0"/>
          <w:caps w:val="0"/>
          <w:color w:val="auto"/>
          <w:spacing w:val="0"/>
          <w:kern w:val="0"/>
          <w:sz w:val="32"/>
          <w:szCs w:val="32"/>
          <w:highlight w:val="none"/>
          <w:u w:val="none"/>
          <w:shd w:val="clear" w:color="auto" w:fill="auto"/>
          <w:lang w:val="en-US" w:eastAsia="zh-CN" w:bidi="ar"/>
        </w:rPr>
        <w:t>推动</w:t>
      </w:r>
      <w:r>
        <w:rPr>
          <w:rFonts w:hint="eastAsia" w:ascii="Times New Roman" w:hAnsi="Times New Roman" w:eastAsia="仿宋" w:cs="Times New Roman"/>
          <w:i w:val="0"/>
          <w:caps w:val="0"/>
          <w:color w:val="auto"/>
          <w:spacing w:val="0"/>
          <w:kern w:val="0"/>
          <w:sz w:val="32"/>
          <w:szCs w:val="32"/>
          <w:highlight w:val="none"/>
          <w:u w:val="none"/>
          <w:shd w:val="clear" w:color="auto" w:fill="auto"/>
          <w:lang w:val="en-US" w:eastAsia="zh-CN" w:bidi="ar"/>
        </w:rPr>
        <w:t>乡村振兴示范村生活污水治理工作。</w:t>
      </w:r>
    </w:p>
    <w:p>
      <w:pPr>
        <w:keepNext w:val="0"/>
        <w:keepLines w:val="0"/>
        <w:widowControl/>
        <w:suppressLineNumbers w:val="0"/>
        <w:spacing w:line="540" w:lineRule="exact"/>
        <w:jc w:val="left"/>
        <w:rPr>
          <w:rFonts w:hint="eastAsia" w:ascii="仿宋_GB2312" w:hAnsi="仿宋_GB2312" w:eastAsia="仿宋_GB2312" w:cs="仿宋_GB2312"/>
          <w:color w:val="auto"/>
          <w:highlight w:val="none"/>
          <w:u w:val="none"/>
          <w:lang w:bidi="ar"/>
        </w:rPr>
      </w:pPr>
      <w:r>
        <w:rPr>
          <w:rFonts w:hint="default" w:ascii="Times New Roman" w:hAnsi="Times New Roman" w:eastAsia="仿宋" w:cs="Times New Roman"/>
          <w:i w:val="0"/>
          <w:caps w:val="0"/>
          <w:color w:val="auto"/>
          <w:spacing w:val="0"/>
          <w:kern w:val="0"/>
          <w:sz w:val="32"/>
          <w:szCs w:val="32"/>
          <w:highlight w:val="none"/>
          <w:u w:val="none"/>
          <w:shd w:val="clear" w:color="auto" w:fill="auto"/>
          <w:lang w:val="en-US" w:eastAsia="zh-CN" w:bidi="ar"/>
        </w:rPr>
        <w:t>市城管执法局负责</w:t>
      </w:r>
      <w:r>
        <w:rPr>
          <w:rFonts w:hint="default" w:ascii="Times New Roman" w:hAnsi="Times New Roman" w:eastAsia="仿宋" w:cs="Times New Roman"/>
          <w:b w:val="0"/>
          <w:bCs w:val="0"/>
          <w:color w:val="auto"/>
          <w:sz w:val="32"/>
          <w:szCs w:val="32"/>
          <w:highlight w:val="none"/>
          <w:u w:val="none"/>
        </w:rPr>
        <w:t>完善农村生活垃圾收运处置体系</w:t>
      </w:r>
      <w:r>
        <w:rPr>
          <w:rFonts w:hint="eastAsia" w:ascii="仿宋_GB2312" w:hAnsi="仿宋_GB2312" w:eastAsia="仿宋_GB2312" w:cs="仿宋_GB2312"/>
          <w:i w:val="0"/>
          <w:caps w:val="0"/>
          <w:color w:val="auto"/>
          <w:spacing w:val="0"/>
          <w:kern w:val="0"/>
          <w:sz w:val="32"/>
          <w:szCs w:val="22"/>
          <w:highlight w:val="none"/>
          <w:u w:val="none"/>
          <w:shd w:val="clear" w:color="auto" w:fill="auto"/>
          <w:lang w:val="en-US" w:eastAsia="zh-CN" w:bidi="ar"/>
        </w:rPr>
        <w:t>，</w:t>
      </w:r>
      <w:r>
        <w:rPr>
          <w:rFonts w:hint="default" w:ascii="Times New Roman" w:hAnsi="Times New Roman" w:eastAsia="仿宋" w:cs="Times New Roman"/>
          <w:color w:val="auto"/>
          <w:sz w:val="32"/>
          <w:szCs w:val="32"/>
          <w:highlight w:val="none"/>
          <w:u w:val="none"/>
        </w:rPr>
        <w:t>加强对生活垃圾处理设施运行维护的监管</w:t>
      </w:r>
      <w:r>
        <w:rPr>
          <w:rFonts w:hint="eastAsia" w:cs="Times New Roman"/>
          <w:color w:val="auto"/>
          <w:sz w:val="32"/>
          <w:szCs w:val="32"/>
          <w:highlight w:val="none"/>
          <w:u w:val="none"/>
          <w:lang w:eastAsia="zh-CN"/>
        </w:rPr>
        <w:t>，</w:t>
      </w:r>
      <w:r>
        <w:rPr>
          <w:rFonts w:hint="eastAsia" w:ascii="仿宋_GB2312" w:hAnsi="仿宋_GB2312" w:eastAsia="仿宋_GB2312" w:cs="仿宋_GB2312"/>
          <w:i w:val="0"/>
          <w:caps w:val="0"/>
          <w:color w:val="auto"/>
          <w:spacing w:val="0"/>
          <w:kern w:val="0"/>
          <w:sz w:val="32"/>
          <w:szCs w:val="22"/>
          <w:highlight w:val="none"/>
          <w:u w:val="none"/>
          <w:shd w:val="clear" w:color="auto" w:fill="auto"/>
          <w:lang w:val="en-US" w:eastAsia="zh-CN" w:bidi="ar"/>
        </w:rPr>
        <w:t>避免因垃圾随意倾倒、长年堆积、处理不当等造成水体污染。</w:t>
      </w:r>
    </w:p>
    <w:p>
      <w:pPr>
        <w:keepNext w:val="0"/>
        <w:keepLines w:val="0"/>
        <w:widowControl/>
        <w:suppressLineNumbers w:val="0"/>
        <w:spacing w:line="540" w:lineRule="exact"/>
        <w:jc w:val="left"/>
        <w:rPr>
          <w:rFonts w:hint="eastAsia" w:ascii="仿宋_GB2312" w:hAnsi="仿宋_GB2312" w:eastAsia="仿宋_GB2312" w:cs="仿宋_GB2312"/>
          <w:color w:val="auto"/>
          <w:highlight w:val="none"/>
          <w:u w:val="none"/>
          <w:lang w:bidi="ar"/>
        </w:rPr>
      </w:pPr>
      <w:r>
        <w:rPr>
          <w:rFonts w:hint="eastAsia" w:ascii="仿宋_GB2312" w:hAnsi="仿宋_GB2312" w:eastAsia="仿宋_GB2312" w:cs="仿宋_GB2312"/>
          <w:i w:val="0"/>
          <w:caps w:val="0"/>
          <w:color w:val="auto"/>
          <w:spacing w:val="0"/>
          <w:sz w:val="32"/>
          <w:szCs w:val="22"/>
          <w:highlight w:val="none"/>
          <w:u w:val="none"/>
          <w:lang w:eastAsia="zh-CN" w:bidi="ar"/>
        </w:rPr>
        <w:t>市水利局负责</w:t>
      </w:r>
      <w:r>
        <w:rPr>
          <w:rFonts w:hint="eastAsia" w:ascii="仿宋_GB2312" w:hAnsi="仿宋_GB2312" w:eastAsia="仿宋_GB2312" w:cs="仿宋_GB2312"/>
          <w:i w:val="0"/>
          <w:caps w:val="0"/>
          <w:color w:val="auto"/>
          <w:spacing w:val="0"/>
          <w:kern w:val="0"/>
          <w:sz w:val="32"/>
          <w:szCs w:val="22"/>
          <w:highlight w:val="none"/>
          <w:u w:val="none"/>
          <w:shd w:val="clear" w:color="auto" w:fill="auto"/>
          <w:lang w:val="en-US" w:eastAsia="zh-CN" w:bidi="ar"/>
        </w:rPr>
        <w:t>加强农村地区水域河道综合治理，开展中小河流岸线治理，</w:t>
      </w:r>
      <w:r>
        <w:rPr>
          <w:rFonts w:hint="eastAsia" w:ascii="仿宋_GB2312" w:hAnsi="仿宋_GB2312" w:eastAsia="仿宋_GB2312" w:cs="仿宋_GB2312"/>
          <w:color w:val="auto"/>
          <w:sz w:val="32"/>
          <w:szCs w:val="22"/>
          <w:highlight w:val="none"/>
          <w:u w:val="none"/>
          <w:lang w:bidi="ar"/>
        </w:rPr>
        <w:t>压实各级河湖长和河长会议成员单位责任，强化河长巡河和河长治污</w:t>
      </w:r>
      <w:r>
        <w:rPr>
          <w:rFonts w:hint="eastAsia" w:ascii="仿宋_GB2312" w:hAnsi="仿宋_GB2312" w:eastAsia="仿宋_GB2312" w:cs="仿宋_GB2312"/>
          <w:i w:val="0"/>
          <w:caps w:val="0"/>
          <w:color w:val="auto"/>
          <w:spacing w:val="0"/>
          <w:kern w:val="0"/>
          <w:sz w:val="32"/>
          <w:szCs w:val="22"/>
          <w:highlight w:val="none"/>
          <w:u w:val="none"/>
          <w:shd w:val="clear" w:color="auto" w:fill="auto"/>
          <w:lang w:val="en-US" w:eastAsia="zh-CN" w:bidi="ar"/>
        </w:rPr>
        <w:t>。</w:t>
      </w:r>
    </w:p>
    <w:p>
      <w:pPr>
        <w:spacing w:line="540" w:lineRule="exact"/>
        <w:rPr>
          <w:rFonts w:hint="eastAsia" w:ascii="仿宋_GB2312" w:hAnsi="仿宋_GB2312" w:eastAsia="仿宋_GB2312" w:cs="仿宋_GB2312"/>
          <w:i w:val="0"/>
          <w:caps w:val="0"/>
          <w:color w:val="auto"/>
          <w:spacing w:val="0"/>
          <w:sz w:val="32"/>
          <w:szCs w:val="22"/>
          <w:highlight w:val="none"/>
          <w:u w:val="none"/>
        </w:rPr>
      </w:pPr>
      <w:r>
        <w:rPr>
          <w:rFonts w:hint="eastAsia" w:ascii="仿宋_GB2312" w:hAnsi="仿宋_GB2312" w:eastAsia="仿宋_GB2312" w:cs="仿宋_GB2312"/>
          <w:i w:val="0"/>
          <w:caps w:val="0"/>
          <w:color w:val="auto"/>
          <w:spacing w:val="0"/>
          <w:sz w:val="32"/>
          <w:szCs w:val="22"/>
          <w:highlight w:val="none"/>
          <w:u w:val="none"/>
        </w:rPr>
        <w:t>市财政局负责指导县</w:t>
      </w:r>
      <w:r>
        <w:rPr>
          <w:rFonts w:hint="eastAsia" w:ascii="仿宋_GB2312" w:hAnsi="仿宋_GB2312" w:eastAsia="仿宋_GB2312" w:cs="仿宋_GB2312"/>
          <w:i w:val="0"/>
          <w:caps w:val="0"/>
          <w:color w:val="auto"/>
          <w:spacing w:val="0"/>
          <w:sz w:val="32"/>
          <w:szCs w:val="22"/>
          <w:highlight w:val="none"/>
          <w:u w:val="none"/>
          <w:lang w:eastAsia="zh-CN"/>
        </w:rPr>
        <w:t>区、新区</w:t>
      </w:r>
      <w:r>
        <w:rPr>
          <w:rFonts w:hint="eastAsia" w:ascii="仿宋_GB2312" w:hAnsi="仿宋_GB2312" w:eastAsia="仿宋_GB2312" w:cs="仿宋_GB2312"/>
          <w:i w:val="0"/>
          <w:caps w:val="0"/>
          <w:color w:val="auto"/>
          <w:spacing w:val="0"/>
          <w:sz w:val="32"/>
          <w:szCs w:val="22"/>
          <w:highlight w:val="none"/>
          <w:u w:val="none"/>
        </w:rPr>
        <w:t>加强涉农资金统筹整合，配合业务主管部门通过积极向上争取资金、吸引社会资本投入等多渠道筹措资金支持农村生活污水治理。</w:t>
      </w:r>
    </w:p>
    <w:p>
      <w:pPr>
        <w:pStyle w:val="6"/>
        <w:widowControl/>
        <w:autoSpaceDE/>
        <w:autoSpaceDN/>
        <w:spacing w:line="540" w:lineRule="exact"/>
        <w:ind w:firstLine="640" w:firstLineChars="200"/>
        <w:rPr>
          <w:rFonts w:hint="eastAsia" w:ascii="楷体_GB2312" w:hAnsi="楷体_GB2312" w:eastAsia="楷体_GB2312" w:cs="楷体_GB2312"/>
          <w:b w:val="0"/>
          <w:bCs/>
          <w:color w:val="auto"/>
          <w:szCs w:val="36"/>
          <w:highlight w:val="none"/>
          <w:u w:val="none"/>
          <w:lang w:val="en-US" w:eastAsia="zh-CN"/>
        </w:rPr>
      </w:pPr>
      <w:r>
        <w:rPr>
          <w:rFonts w:hint="eastAsia" w:ascii="楷体_GB2312" w:hAnsi="楷体_GB2312" w:eastAsia="楷体_GB2312" w:cs="楷体_GB2312"/>
          <w:b w:val="0"/>
          <w:bCs/>
          <w:color w:val="auto"/>
          <w:szCs w:val="36"/>
          <w:highlight w:val="none"/>
          <w:u w:val="none"/>
          <w:lang w:val="en-US" w:eastAsia="zh-CN"/>
        </w:rPr>
        <w:t>（二）探索资金筹措</w:t>
      </w:r>
      <w:bookmarkEnd w:id="61"/>
      <w:bookmarkEnd w:id="62"/>
      <w:bookmarkEnd w:id="63"/>
      <w:bookmarkEnd w:id="64"/>
      <w:bookmarkEnd w:id="65"/>
      <w:bookmarkEnd w:id="66"/>
      <w:bookmarkEnd w:id="67"/>
      <w:bookmarkEnd w:id="68"/>
      <w:r>
        <w:rPr>
          <w:rFonts w:hint="eastAsia" w:ascii="楷体_GB2312" w:hAnsi="楷体_GB2312" w:eastAsia="楷体_GB2312" w:cs="楷体_GB2312"/>
          <w:b w:val="0"/>
          <w:bCs/>
          <w:color w:val="auto"/>
          <w:szCs w:val="36"/>
          <w:highlight w:val="none"/>
          <w:u w:val="none"/>
          <w:lang w:val="en-US" w:eastAsia="zh-CN"/>
        </w:rPr>
        <w:t>方式，加大资金投入</w:t>
      </w:r>
    </w:p>
    <w:p>
      <w:pPr>
        <w:pStyle w:val="6"/>
        <w:spacing w:line="540" w:lineRule="exact"/>
        <w:ind w:firstLine="643" w:firstLineChars="200"/>
        <w:rPr>
          <w:rFonts w:hint="eastAsia" w:ascii="仿宋_GB2312" w:hAnsi="仿宋_GB2312" w:eastAsia="仿宋_GB2312" w:cs="仿宋_GB2312"/>
          <w:color w:val="auto"/>
          <w:highlight w:val="none"/>
          <w:u w:val="none"/>
        </w:rPr>
      </w:pPr>
      <w:bookmarkStart w:id="69" w:name="_Toc9882"/>
      <w:bookmarkStart w:id="70" w:name="_Toc25501"/>
      <w:bookmarkStart w:id="71" w:name="_Toc11902"/>
      <w:bookmarkStart w:id="72" w:name="_Toc19008"/>
      <w:bookmarkStart w:id="73" w:name="_Toc22021"/>
      <w:r>
        <w:rPr>
          <w:rFonts w:hint="eastAsia" w:ascii="仿宋_GB2312" w:hAnsi="仿宋_GB2312" w:eastAsia="仿宋_GB2312" w:cs="仿宋_GB2312"/>
          <w:color w:val="auto"/>
          <w:highlight w:val="none"/>
          <w:u w:val="none"/>
          <w:lang w:val="en-US" w:eastAsia="zh-CN"/>
        </w:rPr>
        <w:t>1.加大财政资金投入</w:t>
      </w:r>
      <w:bookmarkEnd w:id="69"/>
      <w:bookmarkEnd w:id="70"/>
      <w:bookmarkEnd w:id="71"/>
      <w:bookmarkEnd w:id="72"/>
      <w:bookmarkEnd w:id="73"/>
    </w:p>
    <w:p>
      <w:pPr>
        <w:spacing w:line="540" w:lineRule="exact"/>
        <w:ind w:firstLine="640" w:firstLineChars="200"/>
        <w:rPr>
          <w:rFonts w:hint="eastAsia" w:ascii="仿宋_GB2312" w:hAnsi="仿宋_GB2312" w:eastAsia="仿宋_GB2312" w:cs="仿宋_GB2312"/>
          <w:color w:val="auto"/>
          <w:highlight w:val="none"/>
          <w:u w:val="none"/>
          <w:lang w:eastAsia="zh-CN"/>
        </w:rPr>
      </w:pPr>
      <w:r>
        <w:rPr>
          <w:rFonts w:hint="eastAsia" w:ascii="仿宋_GB2312" w:hAnsi="仿宋_GB2312" w:eastAsia="仿宋_GB2312" w:cs="仿宋_GB2312"/>
          <w:color w:val="auto"/>
          <w:highlight w:val="none"/>
          <w:u w:val="none"/>
          <w:lang w:val="en-US" w:eastAsia="zh-CN"/>
        </w:rPr>
        <w:t>除争取中央和自治区财政资金外，可与农村人居环境整治、</w:t>
      </w:r>
      <w:r>
        <w:rPr>
          <w:rFonts w:hint="eastAsia" w:ascii="仿宋_GB2312" w:hAnsi="仿宋_GB2312" w:eastAsia="仿宋_GB2312" w:cs="仿宋_GB2312"/>
          <w:color w:val="auto"/>
          <w:highlight w:val="none"/>
          <w:u w:val="none"/>
          <w:lang w:eastAsia="zh-CN"/>
        </w:rPr>
        <w:t>村容村貌</w:t>
      </w:r>
      <w:r>
        <w:rPr>
          <w:rFonts w:hint="eastAsia" w:ascii="仿宋_GB2312" w:hAnsi="仿宋_GB2312" w:eastAsia="仿宋_GB2312" w:cs="仿宋_GB2312"/>
          <w:color w:val="auto"/>
          <w:highlight w:val="none"/>
          <w:u w:val="none"/>
        </w:rPr>
        <w:t>提升、乡村振兴补助</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lang w:val="en-US" w:eastAsia="zh-CN"/>
        </w:rPr>
        <w:t>农村改厕、小流域治理、国土综合整治、河塘沟渠清淤疏浚、乡村旅游等相结合，</w:t>
      </w:r>
      <w:r>
        <w:rPr>
          <w:rFonts w:hint="eastAsia" w:ascii="仿宋_GB2312" w:hAnsi="仿宋_GB2312" w:eastAsia="仿宋_GB2312" w:cs="仿宋_GB2312"/>
          <w:color w:val="auto"/>
          <w:highlight w:val="none"/>
          <w:u w:val="none"/>
        </w:rPr>
        <w:t>加大资金统筹力度</w:t>
      </w:r>
      <w:r>
        <w:rPr>
          <w:rFonts w:hint="eastAsia" w:ascii="仿宋_GB2312" w:hAnsi="仿宋_GB2312" w:eastAsia="仿宋_GB2312" w:cs="仿宋_GB2312"/>
          <w:color w:val="auto"/>
          <w:highlight w:val="none"/>
          <w:u w:val="none"/>
          <w:lang w:val="en-US" w:eastAsia="zh-CN"/>
        </w:rPr>
        <w:t>，</w:t>
      </w:r>
      <w:r>
        <w:rPr>
          <w:rFonts w:hint="eastAsia" w:ascii="仿宋_GB2312" w:hAnsi="仿宋_GB2312" w:eastAsia="仿宋_GB2312" w:cs="仿宋_GB2312"/>
          <w:color w:val="auto"/>
          <w:highlight w:val="none"/>
          <w:u w:val="none"/>
          <w:lang w:eastAsia="zh-CN"/>
        </w:rPr>
        <w:t>集中投入农村生活污水治理和农村黑臭水体治理。</w:t>
      </w:r>
    </w:p>
    <w:p>
      <w:pPr>
        <w:pStyle w:val="6"/>
        <w:spacing w:line="540" w:lineRule="exact"/>
        <w:ind w:firstLine="643" w:firstLineChars="200"/>
        <w:rPr>
          <w:rFonts w:hint="eastAsia" w:ascii="仿宋_GB2312" w:hAnsi="仿宋_GB2312" w:eastAsia="仿宋_GB2312" w:cs="仿宋_GB2312"/>
          <w:color w:val="auto"/>
          <w:highlight w:val="none"/>
          <w:u w:val="none"/>
        </w:rPr>
      </w:pPr>
      <w:bookmarkStart w:id="74" w:name="_Toc17123"/>
      <w:bookmarkStart w:id="75" w:name="_Toc6945"/>
      <w:bookmarkStart w:id="76" w:name="_Toc6344"/>
      <w:bookmarkStart w:id="77" w:name="_Toc16007"/>
      <w:bookmarkStart w:id="78" w:name="_Toc10056"/>
      <w:r>
        <w:rPr>
          <w:rFonts w:hint="eastAsia" w:ascii="仿宋_GB2312" w:hAnsi="仿宋_GB2312" w:eastAsia="仿宋_GB2312" w:cs="仿宋_GB2312"/>
          <w:color w:val="auto"/>
          <w:highlight w:val="none"/>
          <w:u w:val="none"/>
          <w:lang w:val="en-US" w:eastAsia="zh-CN"/>
        </w:rPr>
        <w:t>2.</w:t>
      </w:r>
      <w:r>
        <w:rPr>
          <w:rFonts w:hint="eastAsia" w:ascii="仿宋_GB2312" w:hAnsi="仿宋_GB2312" w:eastAsia="仿宋_GB2312" w:cs="仿宋_GB2312"/>
          <w:color w:val="auto"/>
          <w:highlight w:val="none"/>
          <w:u w:val="none"/>
        </w:rPr>
        <w:t>发挥政策性金融作用</w:t>
      </w:r>
      <w:bookmarkEnd w:id="74"/>
      <w:bookmarkEnd w:id="75"/>
      <w:bookmarkEnd w:id="76"/>
      <w:bookmarkEnd w:id="77"/>
      <w:bookmarkEnd w:id="78"/>
    </w:p>
    <w:p>
      <w:pPr>
        <w:spacing w:line="540" w:lineRule="exact"/>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lang w:eastAsia="zh-CN"/>
        </w:rPr>
        <w:t>发挥政策性金融机构的作用，</w:t>
      </w:r>
      <w:r>
        <w:rPr>
          <w:rFonts w:hint="eastAsia" w:ascii="仿宋_GB2312" w:hAnsi="仿宋_GB2312" w:eastAsia="仿宋_GB2312" w:cs="仿宋_GB2312"/>
          <w:color w:val="auto"/>
          <w:highlight w:val="none"/>
          <w:u w:val="none"/>
        </w:rPr>
        <w:t>加大信贷资金支持力度</w:t>
      </w:r>
      <w:r>
        <w:rPr>
          <w:rFonts w:hint="eastAsia" w:ascii="仿宋_GB2312" w:hAnsi="仿宋_GB2312" w:eastAsia="仿宋_GB2312" w:cs="仿宋_GB2312"/>
          <w:color w:val="auto"/>
          <w:highlight w:val="none"/>
          <w:u w:val="none"/>
          <w:lang w:eastAsia="zh-CN"/>
        </w:rPr>
        <w:t>，进一步扩宽农村基础设施资金来源，</w:t>
      </w:r>
      <w:r>
        <w:rPr>
          <w:rFonts w:hint="eastAsia" w:ascii="仿宋_GB2312" w:hAnsi="仿宋_GB2312" w:eastAsia="仿宋_GB2312" w:cs="仿宋_GB2312"/>
          <w:color w:val="auto"/>
          <w:highlight w:val="none"/>
          <w:u w:val="none"/>
        </w:rPr>
        <w:t>根据</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关于深入打好污染防治攻坚战共同推进生态环保重大工程项目融资的通知</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《住房城乡建设部中国农业发展银行关于做好利用抵押补充贷款资金支持农村人居环境整治工作的通知》</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自治区生态环境厅 国家开发银行广西分行 农业发展银行广西分行关于共同推进生态环保重大项目融资的通知</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有关精神，引导银行等金融机构依法合规提供信贷</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设立抵押补充贷款资金，支持</w:t>
      </w:r>
      <w:r>
        <w:rPr>
          <w:rFonts w:hint="eastAsia" w:ascii="仿宋_GB2312" w:hAnsi="仿宋_GB2312" w:eastAsia="仿宋_GB2312" w:cs="仿宋_GB2312"/>
          <w:color w:val="auto"/>
          <w:highlight w:val="none"/>
          <w:u w:val="none"/>
          <w:lang w:val="en-US" w:eastAsia="zh-CN"/>
        </w:rPr>
        <w:t>农村生活污水治理项目</w:t>
      </w:r>
      <w:r>
        <w:rPr>
          <w:rFonts w:hint="eastAsia" w:ascii="仿宋_GB2312" w:hAnsi="仿宋_GB2312" w:eastAsia="仿宋_GB2312" w:cs="仿宋_GB2312"/>
          <w:color w:val="auto"/>
          <w:highlight w:val="none"/>
          <w:u w:val="none"/>
        </w:rPr>
        <w:t>建设。</w:t>
      </w:r>
    </w:p>
    <w:p>
      <w:pPr>
        <w:pStyle w:val="6"/>
        <w:spacing w:line="540" w:lineRule="exact"/>
        <w:ind w:firstLine="643" w:firstLineChars="200"/>
        <w:rPr>
          <w:rFonts w:hint="eastAsia" w:ascii="仿宋_GB2312" w:hAnsi="仿宋_GB2312" w:eastAsia="仿宋_GB2312" w:cs="仿宋_GB2312"/>
          <w:color w:val="auto"/>
          <w:highlight w:val="none"/>
          <w:u w:val="none"/>
          <w:lang w:eastAsia="zh-CN"/>
        </w:rPr>
      </w:pPr>
      <w:bookmarkStart w:id="79" w:name="_Toc11904"/>
      <w:bookmarkStart w:id="80" w:name="_Toc19572"/>
      <w:bookmarkStart w:id="81" w:name="_Toc25204"/>
      <w:bookmarkStart w:id="82" w:name="_Toc25310"/>
      <w:bookmarkStart w:id="83" w:name="_Toc24803"/>
      <w:r>
        <w:rPr>
          <w:rFonts w:hint="eastAsia" w:ascii="仿宋_GB2312" w:hAnsi="仿宋_GB2312" w:eastAsia="仿宋_GB2312" w:cs="仿宋_GB2312"/>
          <w:color w:val="auto"/>
          <w:highlight w:val="none"/>
          <w:u w:val="none"/>
          <w:lang w:val="en-US" w:eastAsia="zh-CN"/>
        </w:rPr>
        <w:t>3.</w:t>
      </w:r>
      <w:r>
        <w:rPr>
          <w:rFonts w:hint="eastAsia" w:ascii="仿宋_GB2312" w:hAnsi="仿宋_GB2312" w:eastAsia="仿宋_GB2312" w:cs="仿宋_GB2312"/>
          <w:color w:val="auto"/>
          <w:highlight w:val="none"/>
          <w:u w:val="none"/>
        </w:rPr>
        <w:t>鼓励社会资本投入</w:t>
      </w:r>
      <w:bookmarkEnd w:id="79"/>
      <w:bookmarkEnd w:id="80"/>
      <w:bookmarkEnd w:id="81"/>
      <w:bookmarkEnd w:id="82"/>
      <w:bookmarkEnd w:id="83"/>
    </w:p>
    <w:p>
      <w:pPr>
        <w:spacing w:line="54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rPr>
        <w:t>引导和支持民营企业、社会团体等社会力量，通过投资、捐助、认建等形式，参与农村生活污水治理项目建设和运行维护。</w:t>
      </w:r>
      <w:r>
        <w:rPr>
          <w:rFonts w:hint="eastAsia" w:ascii="仿宋_GB2312" w:hAnsi="仿宋_GB2312" w:eastAsia="仿宋_GB2312" w:cs="仿宋_GB2312"/>
          <w:color w:val="auto"/>
          <w:highlight w:val="none"/>
          <w:u w:val="none"/>
          <w:lang w:eastAsia="zh-CN"/>
        </w:rPr>
        <w:t>通过政府购买服务、政府和社会资本合作等形式，推动市场主体加大对农村</w:t>
      </w:r>
      <w:r>
        <w:rPr>
          <w:rFonts w:hint="eastAsia" w:ascii="仿宋_GB2312" w:hAnsi="仿宋_GB2312" w:eastAsia="仿宋_GB2312" w:cs="仿宋_GB2312"/>
          <w:color w:val="auto"/>
          <w:highlight w:val="none"/>
          <w:lang w:eastAsia="zh-CN"/>
        </w:rPr>
        <w:t>生活污水处理设施建设和运维的投入。引入竞争机制和以效付费制度，合理确定建设成本和运维价格，</w:t>
      </w:r>
      <w:r>
        <w:rPr>
          <w:rFonts w:hint="eastAsia" w:ascii="仿宋_GB2312" w:hAnsi="仿宋_GB2312" w:eastAsia="仿宋_GB2312" w:cs="仿宋_GB2312"/>
          <w:color w:val="auto"/>
          <w:highlight w:val="none"/>
        </w:rPr>
        <w:t>建立健全农村生活污水治理设施运行维护资金筹措机制，保障设施正常运行。</w:t>
      </w:r>
    </w:p>
    <w:p>
      <w:pPr>
        <w:pStyle w:val="6"/>
        <w:spacing w:line="540" w:lineRule="exact"/>
        <w:ind w:firstLine="643" w:firstLineChars="200"/>
        <w:rPr>
          <w:rFonts w:hint="eastAsia" w:ascii="仿宋_GB2312" w:hAnsi="仿宋_GB2312" w:eastAsia="仿宋_GB2312" w:cs="仿宋_GB2312"/>
          <w:color w:val="auto"/>
          <w:highlight w:val="none"/>
          <w:lang w:eastAsia="zh-CN"/>
        </w:rPr>
      </w:pPr>
      <w:bookmarkStart w:id="84" w:name="_Toc17492"/>
      <w:bookmarkStart w:id="85" w:name="_Toc31374"/>
      <w:bookmarkStart w:id="86" w:name="_Toc30065"/>
      <w:bookmarkStart w:id="87" w:name="_Toc24773"/>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lang w:eastAsia="zh-CN"/>
        </w:rPr>
        <w:t>探索</w:t>
      </w:r>
      <w:r>
        <w:rPr>
          <w:rFonts w:hint="eastAsia" w:ascii="仿宋_GB2312" w:hAnsi="仿宋_GB2312" w:eastAsia="仿宋_GB2312" w:cs="仿宋_GB2312"/>
          <w:color w:val="auto"/>
          <w:highlight w:val="none"/>
        </w:rPr>
        <w:t>农户缴费</w:t>
      </w:r>
      <w:bookmarkEnd w:id="84"/>
      <w:bookmarkEnd w:id="85"/>
      <w:r>
        <w:rPr>
          <w:rFonts w:hint="eastAsia" w:ascii="仿宋_GB2312" w:hAnsi="仿宋_GB2312" w:eastAsia="仿宋_GB2312" w:cs="仿宋_GB2312"/>
          <w:color w:val="auto"/>
          <w:highlight w:val="none"/>
          <w:lang w:eastAsia="zh-CN"/>
        </w:rPr>
        <w:t>制度</w:t>
      </w:r>
      <w:bookmarkEnd w:id="86"/>
      <w:bookmarkEnd w:id="87"/>
    </w:p>
    <w:p>
      <w:pPr>
        <w:tabs>
          <w:tab w:val="center" w:pos="4153"/>
          <w:tab w:val="right" w:pos="8306"/>
        </w:tabs>
        <w:spacing w:line="540" w:lineRule="exac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eastAsia="zh-CN"/>
        </w:rPr>
        <w:t>引导农民积极参与农村生活污水治理，</w:t>
      </w:r>
      <w:r>
        <w:rPr>
          <w:rFonts w:hint="eastAsia" w:ascii="仿宋_GB2312" w:hAnsi="仿宋_GB2312" w:eastAsia="仿宋_GB2312" w:cs="仿宋_GB2312"/>
          <w:color w:val="auto"/>
          <w:highlight w:val="none"/>
        </w:rPr>
        <w:t>充分调动村集体和农户建设积极性，出资出劳开展</w:t>
      </w:r>
      <w:r>
        <w:rPr>
          <w:rFonts w:hint="eastAsia" w:ascii="仿宋_GB2312" w:hAnsi="仿宋_GB2312" w:eastAsia="仿宋_GB2312" w:cs="仿宋_GB2312"/>
          <w:color w:val="auto"/>
          <w:highlight w:val="none"/>
          <w:lang w:val="en-US" w:eastAsia="zh-CN"/>
        </w:rPr>
        <w:t>项目建设</w:t>
      </w:r>
      <w:r>
        <w:rPr>
          <w:rFonts w:hint="eastAsia" w:ascii="仿宋_GB2312" w:hAnsi="仿宋_GB2312" w:eastAsia="仿宋_GB2312" w:cs="仿宋_GB2312"/>
          <w:color w:val="auto"/>
          <w:highlight w:val="none"/>
          <w:lang w:eastAsia="zh-CN"/>
        </w:rPr>
        <w:t>，完善村务公开制度</w:t>
      </w:r>
      <w:r>
        <w:rPr>
          <w:rFonts w:hint="eastAsia" w:ascii="仿宋_GB2312" w:hAnsi="仿宋_GB2312" w:eastAsia="仿宋_GB2312" w:cs="仿宋_GB2312"/>
          <w:color w:val="auto"/>
          <w:highlight w:val="none"/>
        </w:rPr>
        <w:t>。探索建立财政补贴、村集体自筹、村民适当缴费的运维资金分担机制；按照谁排放，谁付费的原则，综合考虑污染防治形势、经济社会承受能力、农村居民意愿等因素，</w:t>
      </w:r>
      <w:r>
        <w:rPr>
          <w:rFonts w:hint="eastAsia" w:ascii="仿宋_GB2312" w:hAnsi="仿宋_GB2312" w:eastAsia="仿宋_GB2312" w:cs="仿宋_GB2312"/>
          <w:color w:val="auto"/>
          <w:highlight w:val="none"/>
          <w:lang w:eastAsia="zh-CN"/>
        </w:rPr>
        <w:t>探索研究</w:t>
      </w:r>
      <w:r>
        <w:rPr>
          <w:rFonts w:hint="eastAsia" w:ascii="仿宋_GB2312" w:hAnsi="仿宋_GB2312" w:eastAsia="仿宋_GB2312" w:cs="仿宋_GB2312"/>
          <w:color w:val="auto"/>
          <w:highlight w:val="none"/>
        </w:rPr>
        <w:t>农村生活污水处理农户缴费制度。</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bookmarkStart w:id="88" w:name="_Toc10745"/>
      <w:bookmarkStart w:id="89" w:name="_Toc32527"/>
      <w:bookmarkStart w:id="90" w:name="_Toc23625_WPSOffice_Level2"/>
      <w:bookmarkStart w:id="91" w:name="_Toc2638"/>
      <w:bookmarkStart w:id="92" w:name="_Toc23677"/>
      <w:bookmarkStart w:id="93" w:name="_Toc4507"/>
      <w:bookmarkStart w:id="94" w:name="_Toc21734"/>
      <w:bookmarkStart w:id="95" w:name="_Toc23772"/>
      <w:r>
        <w:rPr>
          <w:rFonts w:hint="eastAsia" w:ascii="楷体_GB2312" w:hAnsi="楷体_GB2312" w:eastAsia="楷体_GB2312" w:cs="楷体_GB2312"/>
          <w:b w:val="0"/>
          <w:bCs/>
          <w:color w:val="auto"/>
          <w:szCs w:val="36"/>
          <w:highlight w:val="none"/>
          <w:lang w:val="en-US" w:eastAsia="zh-CN"/>
        </w:rPr>
        <w:t>（三）健全体制机制，</w:t>
      </w:r>
      <w:bookmarkEnd w:id="88"/>
      <w:bookmarkEnd w:id="89"/>
      <w:bookmarkEnd w:id="90"/>
      <w:bookmarkEnd w:id="91"/>
      <w:bookmarkEnd w:id="92"/>
      <w:r>
        <w:rPr>
          <w:rFonts w:hint="eastAsia" w:ascii="楷体_GB2312" w:hAnsi="楷体_GB2312" w:eastAsia="楷体_GB2312" w:cs="楷体_GB2312"/>
          <w:b w:val="0"/>
          <w:bCs/>
          <w:color w:val="auto"/>
          <w:szCs w:val="36"/>
          <w:highlight w:val="none"/>
          <w:lang w:val="en-US" w:eastAsia="zh-CN"/>
        </w:rPr>
        <w:t>完善环境监管体系</w:t>
      </w:r>
      <w:bookmarkEnd w:id="93"/>
      <w:bookmarkEnd w:id="94"/>
      <w:bookmarkEnd w:id="95"/>
    </w:p>
    <w:p>
      <w:pPr>
        <w:bidi w:val="0"/>
        <w:spacing w:line="540" w:lineRule="exac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建立目标责任制。市生态环境局将自治区下达的目标任务逐级分解落实到</w:t>
      </w:r>
      <w:r>
        <w:rPr>
          <w:rFonts w:hint="eastAsia" w:ascii="仿宋_GB2312" w:hAnsi="仿宋_GB2312" w:eastAsia="仿宋_GB2312" w:cs="仿宋_GB2312"/>
          <w:color w:val="auto"/>
          <w:highlight w:val="none"/>
          <w:lang w:val="en-US" w:eastAsia="zh-CN"/>
        </w:rPr>
        <w:t>各县区、新区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各县区、新区</w:t>
      </w:r>
      <w:r>
        <w:rPr>
          <w:rFonts w:hint="eastAsia" w:ascii="仿宋_GB2312" w:hAnsi="仿宋_GB2312" w:eastAsia="仿宋_GB2312" w:cs="仿宋_GB2312"/>
          <w:color w:val="auto"/>
          <w:highlight w:val="none"/>
        </w:rPr>
        <w:t>合理确定年度目标任务，突出重点，强化资金保障。</w:t>
      </w:r>
      <w:r>
        <w:rPr>
          <w:rFonts w:hint="eastAsia" w:ascii="仿宋_GB2312" w:hAnsi="仿宋_GB2312" w:eastAsia="仿宋_GB2312" w:cs="仿宋_GB2312"/>
          <w:color w:val="auto"/>
          <w:highlight w:val="none"/>
          <w:lang w:eastAsia="zh-CN"/>
        </w:rPr>
        <w:t>加强对资金使用和项目实施情况的监督检查，建立考核奖惩机制。明确工作主体，落实工作责任，构建一级抓一级的考核体系，切实把地方政府责任落到实处。</w:t>
      </w:r>
    </w:p>
    <w:p>
      <w:pPr>
        <w:tabs>
          <w:tab w:val="center" w:pos="4153"/>
          <w:tab w:val="right" w:pos="8306"/>
        </w:tabs>
        <w:spacing w:line="540" w:lineRule="exac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完善农村环境监管体系。</w:t>
      </w:r>
      <w:r>
        <w:rPr>
          <w:rFonts w:hint="eastAsia" w:ascii="仿宋_GB2312" w:hAnsi="仿宋_GB2312" w:eastAsia="仿宋_GB2312" w:cs="仿宋_GB2312"/>
          <w:color w:val="auto"/>
          <w:highlight w:val="none"/>
        </w:rPr>
        <w:t>加强基层环境执法体系建设，进一步强化基层环境监管执法力量，建立重心下移、力量下沉、保障下倾的农村生态环境监管执法工作机制。落实乡镇生态环境保护职责，确保责有人负、事有人干。创新监管手段，</w:t>
      </w:r>
      <w:r>
        <w:rPr>
          <w:rFonts w:hint="eastAsia" w:ascii="仿宋_GB2312" w:hAnsi="仿宋_GB2312" w:eastAsia="仿宋_GB2312" w:cs="仿宋_GB2312"/>
          <w:color w:val="auto"/>
          <w:highlight w:val="none"/>
          <w:lang w:eastAsia="zh-CN"/>
        </w:rPr>
        <w:t>加强农村环境监测。做好农村生活污水处理设施进水和出水水质的监督性监测。</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bookmarkStart w:id="96" w:name="_Toc6750"/>
      <w:bookmarkStart w:id="97" w:name="_Toc29539"/>
      <w:bookmarkStart w:id="98" w:name="_Toc6447"/>
      <w:bookmarkStart w:id="99" w:name="_Toc30285"/>
      <w:bookmarkStart w:id="100" w:name="_Toc29572"/>
      <w:bookmarkStart w:id="101" w:name="_Toc27784_WPSOffice_Level2"/>
      <w:bookmarkStart w:id="102" w:name="_Toc23596"/>
      <w:bookmarkStart w:id="103" w:name="_Toc7139"/>
      <w:r>
        <w:rPr>
          <w:rFonts w:hint="eastAsia" w:ascii="楷体_GB2312" w:hAnsi="楷体_GB2312" w:eastAsia="楷体_GB2312" w:cs="楷体_GB2312"/>
          <w:b w:val="0"/>
          <w:bCs/>
          <w:color w:val="auto"/>
          <w:szCs w:val="36"/>
          <w:highlight w:val="none"/>
          <w:lang w:val="en-US" w:eastAsia="zh-CN"/>
        </w:rPr>
        <w:t>（四）强化科技支撑，加大科技创新</w:t>
      </w:r>
      <w:bookmarkEnd w:id="96"/>
      <w:bookmarkEnd w:id="97"/>
      <w:bookmarkEnd w:id="98"/>
      <w:bookmarkEnd w:id="99"/>
      <w:bookmarkEnd w:id="100"/>
      <w:bookmarkEnd w:id="101"/>
      <w:bookmarkEnd w:id="102"/>
      <w:bookmarkEnd w:id="103"/>
    </w:p>
    <w:p>
      <w:pPr>
        <w:bidi w:val="0"/>
        <w:spacing w:line="540" w:lineRule="exact"/>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sz w:val="32"/>
          <w:szCs w:val="32"/>
          <w:u w:val="none"/>
          <w:lang w:eastAsia="zh-CN"/>
        </w:rPr>
        <w:t>按照《广西</w:t>
      </w:r>
      <w:r>
        <w:rPr>
          <w:rFonts w:hint="eastAsia" w:ascii="仿宋_GB2312" w:hAnsi="仿宋_GB2312" w:eastAsia="仿宋_GB2312" w:cs="仿宋_GB2312"/>
          <w:color w:val="auto"/>
          <w:sz w:val="32"/>
          <w:szCs w:val="32"/>
          <w:u w:val="none"/>
        </w:rPr>
        <w:t>农村生活污水治理技术手册</w:t>
      </w:r>
      <w:r>
        <w:rPr>
          <w:rFonts w:hint="eastAsia" w:ascii="仿宋_GB2312" w:hAnsi="仿宋_GB2312" w:eastAsia="仿宋_GB2312" w:cs="仿宋_GB2312"/>
          <w:color w:val="auto"/>
          <w:sz w:val="32"/>
          <w:szCs w:val="32"/>
          <w:u w:val="none"/>
          <w:lang w:eastAsia="zh-CN"/>
        </w:rPr>
        <w:t>（试行）》</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highlight w:val="none"/>
          <w:u w:val="none"/>
          <w:lang w:eastAsia="zh-CN"/>
        </w:rPr>
        <w:t>通过组织现场学习、专题培训等方式，</w:t>
      </w:r>
      <w:r>
        <w:rPr>
          <w:rFonts w:hint="eastAsia" w:ascii="仿宋_GB2312" w:hAnsi="仿宋_GB2312" w:eastAsia="仿宋_GB2312" w:cs="仿宋_GB2312"/>
          <w:color w:val="auto"/>
          <w:sz w:val="32"/>
          <w:szCs w:val="32"/>
          <w:u w:val="none"/>
        </w:rPr>
        <w:t>积极推广低成本、低能耗、易维护、高效率的农村污水处理技术，</w:t>
      </w:r>
      <w:r>
        <w:rPr>
          <w:rFonts w:hint="eastAsia" w:ascii="仿宋_GB2312" w:hAnsi="仿宋_GB2312" w:eastAsia="仿宋_GB2312" w:cs="仿宋_GB2312"/>
          <w:color w:val="auto"/>
          <w:highlight w:val="none"/>
          <w:u w:val="none"/>
          <w:lang w:eastAsia="zh-CN"/>
        </w:rPr>
        <w:t>探索和创新适于柳州市农村地区的生活污水治理模式。</w:t>
      </w:r>
      <w:r>
        <w:rPr>
          <w:rFonts w:hint="eastAsia" w:ascii="仿宋_GB2312" w:hAnsi="仿宋_GB2312" w:eastAsia="仿宋_GB2312" w:cs="仿宋_GB2312"/>
          <w:color w:val="auto"/>
          <w:highlight w:val="none"/>
          <w:u w:val="none"/>
        </w:rPr>
        <w:t>加快推进农村生态环境信息化建设，完善农村环境整治效果等信息公开与公众监督渠道。</w:t>
      </w:r>
    </w:p>
    <w:p>
      <w:pPr>
        <w:widowControl/>
        <w:bidi w:val="0"/>
        <w:spacing w:line="540" w:lineRule="exact"/>
        <w:jc w:val="left"/>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lang w:eastAsia="zh-CN"/>
        </w:rPr>
        <w:t>充分发挥</w:t>
      </w:r>
      <w:r>
        <w:rPr>
          <w:rFonts w:hint="eastAsia" w:ascii="仿宋_GB2312" w:hAnsi="仿宋_GB2312" w:eastAsia="仿宋_GB2312" w:cs="仿宋_GB2312"/>
          <w:color w:val="auto"/>
          <w:highlight w:val="none"/>
          <w:u w:val="none"/>
        </w:rPr>
        <w:t>高等院校、科研机构、企业和行业协会</w:t>
      </w:r>
      <w:r>
        <w:rPr>
          <w:rFonts w:hint="eastAsia" w:ascii="仿宋_GB2312" w:hAnsi="仿宋_GB2312" w:eastAsia="仿宋_GB2312" w:cs="仿宋_GB2312"/>
          <w:color w:val="auto"/>
          <w:highlight w:val="none"/>
          <w:u w:val="none"/>
          <w:lang w:eastAsia="zh-CN"/>
        </w:rPr>
        <w:t>优势，</w:t>
      </w:r>
      <w:r>
        <w:rPr>
          <w:rFonts w:hint="eastAsia" w:ascii="仿宋_GB2312" w:hAnsi="仿宋_GB2312" w:eastAsia="仿宋_GB2312" w:cs="仿宋_GB2312"/>
          <w:color w:val="auto"/>
          <w:highlight w:val="none"/>
          <w:u w:val="none"/>
        </w:rPr>
        <w:t>开展农村生活污水治理关键技术</w:t>
      </w:r>
      <w:r>
        <w:rPr>
          <w:rFonts w:hint="eastAsia" w:ascii="仿宋_GB2312" w:hAnsi="仿宋_GB2312" w:eastAsia="仿宋_GB2312" w:cs="仿宋_GB2312"/>
          <w:color w:val="auto"/>
          <w:highlight w:val="none"/>
          <w:u w:val="none"/>
          <w:lang w:eastAsia="zh-CN"/>
        </w:rPr>
        <w:t>研讨交流</w:t>
      </w:r>
      <w:r>
        <w:rPr>
          <w:rFonts w:hint="eastAsia" w:ascii="仿宋_GB2312" w:hAnsi="仿宋_GB2312" w:eastAsia="仿宋_GB2312" w:cs="仿宋_GB2312"/>
          <w:color w:val="auto"/>
          <w:highlight w:val="none"/>
          <w:u w:val="none"/>
        </w:rPr>
        <w:t>，</w:t>
      </w:r>
      <w:r>
        <w:rPr>
          <w:rFonts w:hint="eastAsia" w:ascii="仿宋_GB2312" w:hAnsi="仿宋_GB2312" w:eastAsia="仿宋_GB2312" w:cs="仿宋_GB2312"/>
          <w:i w:val="0"/>
          <w:caps w:val="0"/>
          <w:color w:val="auto"/>
          <w:spacing w:val="0"/>
          <w:kern w:val="0"/>
          <w:sz w:val="32"/>
          <w:szCs w:val="22"/>
          <w:highlight w:val="none"/>
          <w:u w:val="none"/>
          <w:lang w:val="en-US" w:eastAsia="zh-CN" w:bidi="ar"/>
        </w:rPr>
        <w:t>定期组织技术帮扶，指导县区、新区因地制宜落实治理及运维。</w:t>
      </w:r>
      <w:r>
        <w:rPr>
          <w:rFonts w:hint="eastAsia" w:ascii="仿宋_GB2312" w:hAnsi="仿宋_GB2312" w:eastAsia="仿宋_GB2312" w:cs="仿宋_GB2312"/>
          <w:color w:val="auto"/>
          <w:highlight w:val="none"/>
          <w:u w:val="none"/>
        </w:rPr>
        <w:t>推动农村生活污水处理与</w:t>
      </w:r>
      <w:r>
        <w:rPr>
          <w:rFonts w:hint="eastAsia" w:ascii="仿宋_GB2312" w:hAnsi="仿宋_GB2312" w:eastAsia="仿宋_GB2312" w:cs="仿宋_GB2312"/>
          <w:color w:val="auto"/>
          <w:highlight w:val="none"/>
          <w:u w:val="none"/>
          <w:lang w:eastAsia="zh-CN"/>
        </w:rPr>
        <w:t>资源化</w:t>
      </w:r>
      <w:r>
        <w:rPr>
          <w:rFonts w:hint="eastAsia" w:ascii="仿宋_GB2312" w:hAnsi="仿宋_GB2312" w:eastAsia="仿宋_GB2312" w:cs="仿宋_GB2312"/>
          <w:color w:val="auto"/>
          <w:highlight w:val="none"/>
          <w:u w:val="none"/>
        </w:rPr>
        <w:t>循环利用装备开发，探索农村水资源循环利用新模式。鼓励</w:t>
      </w:r>
      <w:r>
        <w:rPr>
          <w:rFonts w:hint="eastAsia" w:ascii="仿宋_GB2312" w:hAnsi="仿宋_GB2312" w:eastAsia="仿宋_GB2312" w:cs="仿宋_GB2312"/>
          <w:color w:val="auto"/>
          <w:highlight w:val="none"/>
          <w:u w:val="none"/>
          <w:lang w:eastAsia="zh-CN"/>
        </w:rPr>
        <w:t>有条件的地区</w:t>
      </w:r>
      <w:r>
        <w:rPr>
          <w:rFonts w:hint="eastAsia" w:ascii="仿宋_GB2312" w:hAnsi="仿宋_GB2312" w:eastAsia="仿宋_GB2312" w:cs="仿宋_GB2312"/>
          <w:color w:val="auto"/>
          <w:highlight w:val="none"/>
          <w:u w:val="none"/>
        </w:rPr>
        <w:t>建立农村生活污水处理设施运维智慧监管平台，实现精准定位、远程监控。</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bookmarkStart w:id="104" w:name="_Toc309"/>
      <w:bookmarkStart w:id="105" w:name="_Toc32176"/>
      <w:bookmarkStart w:id="106" w:name="_Toc31354"/>
      <w:bookmarkStart w:id="107" w:name="_Toc19844"/>
      <w:bookmarkStart w:id="108" w:name="_Toc1463"/>
      <w:bookmarkStart w:id="109" w:name="_Toc640"/>
      <w:bookmarkStart w:id="110" w:name="_Toc27787_WPSOffice_Level2"/>
      <w:bookmarkStart w:id="111" w:name="_Toc18767"/>
      <w:r>
        <w:rPr>
          <w:rFonts w:hint="eastAsia" w:ascii="楷体_GB2312" w:hAnsi="楷体_GB2312" w:eastAsia="楷体_GB2312" w:cs="楷体_GB2312"/>
          <w:b w:val="0"/>
          <w:bCs/>
          <w:color w:val="auto"/>
          <w:szCs w:val="36"/>
          <w:highlight w:val="none"/>
          <w:lang w:val="en-US" w:eastAsia="zh-CN"/>
        </w:rPr>
        <w:t>（五）激发农民主体意识，加强宣传发动</w:t>
      </w:r>
      <w:bookmarkEnd w:id="104"/>
      <w:bookmarkEnd w:id="105"/>
      <w:bookmarkEnd w:id="106"/>
      <w:bookmarkEnd w:id="107"/>
      <w:bookmarkEnd w:id="108"/>
      <w:bookmarkEnd w:id="109"/>
      <w:bookmarkEnd w:id="110"/>
      <w:bookmarkEnd w:id="111"/>
    </w:p>
    <w:p>
      <w:pPr>
        <w:keepNext w:val="0"/>
        <w:keepLines w:val="0"/>
        <w:widowControl/>
        <w:suppressLineNumbers w:val="0"/>
        <w:spacing w:line="540" w:lineRule="exact"/>
        <w:jc w:val="left"/>
        <w:rPr>
          <w:rFonts w:hint="eastAsia" w:ascii="仿宋_GB2312" w:hAnsi="仿宋_GB2312" w:eastAsia="仿宋_GB2312" w:cs="仿宋_GB2312"/>
        </w:rPr>
      </w:pPr>
      <w:r>
        <w:rPr>
          <w:rFonts w:hint="eastAsia" w:ascii="仿宋_GB2312" w:hAnsi="仿宋_GB2312" w:eastAsia="仿宋_GB2312" w:cs="仿宋_GB2312"/>
          <w:i w:val="0"/>
          <w:caps w:val="0"/>
          <w:color w:val="auto"/>
          <w:spacing w:val="0"/>
          <w:kern w:val="0"/>
          <w:sz w:val="32"/>
          <w:szCs w:val="22"/>
          <w:highlight w:val="none"/>
          <w:lang w:val="en-US" w:eastAsia="zh-CN" w:bidi="ar"/>
        </w:rPr>
        <w:t>结合乡村振兴战略开展宣传教育，</w:t>
      </w:r>
      <w:r>
        <w:rPr>
          <w:rFonts w:hint="eastAsia" w:ascii="仿宋_GB2312" w:hAnsi="仿宋_GB2312" w:eastAsia="仿宋_GB2312" w:cs="仿宋_GB2312"/>
          <w:color w:val="auto"/>
          <w:highlight w:val="none"/>
        </w:rPr>
        <w:t>发挥村民委员会在组织村民参与农村环境整治工作的领导核心作用，明确将农村生活污水治理和农村黑臭水体整治要求纳入村规民约，</w:t>
      </w:r>
      <w:r>
        <w:rPr>
          <w:rFonts w:hint="eastAsia" w:ascii="仿宋_GB2312" w:hAnsi="仿宋_GB2312" w:eastAsia="仿宋_GB2312" w:cs="仿宋_GB2312"/>
          <w:i w:val="0"/>
          <w:caps w:val="0"/>
          <w:color w:val="auto"/>
          <w:spacing w:val="0"/>
          <w:kern w:val="0"/>
          <w:sz w:val="32"/>
          <w:szCs w:val="22"/>
          <w:highlight w:val="none"/>
          <w:lang w:val="en-US" w:eastAsia="zh-CN" w:bidi="ar"/>
        </w:rPr>
        <w:t>培育提升村民生态环境保护意识，逐步规范村民生活用水、排水行为</w:t>
      </w:r>
      <w:r>
        <w:rPr>
          <w:rFonts w:hint="eastAsia" w:ascii="仿宋_GB2312" w:hAnsi="仿宋_GB2312" w:eastAsia="仿宋_GB2312" w:cs="仿宋_GB2312"/>
          <w:color w:val="auto"/>
          <w:highlight w:val="none"/>
        </w:rPr>
        <w:t>。</w:t>
      </w:r>
      <w:r>
        <w:rPr>
          <w:rFonts w:hint="eastAsia" w:ascii="仿宋_GB2312" w:hAnsi="仿宋_GB2312" w:eastAsia="仿宋_GB2312" w:cs="仿宋_GB2312"/>
          <w:i w:val="0"/>
          <w:caps w:val="0"/>
          <w:color w:val="auto"/>
          <w:spacing w:val="0"/>
          <w:kern w:val="0"/>
          <w:sz w:val="32"/>
          <w:szCs w:val="22"/>
          <w:highlight w:val="none"/>
          <w:lang w:val="en-US" w:eastAsia="zh-CN" w:bidi="ar"/>
        </w:rPr>
        <w:t>引导村民参与农村生活污水治理，</w:t>
      </w:r>
      <w:r>
        <w:rPr>
          <w:rFonts w:hint="eastAsia" w:ascii="仿宋_GB2312" w:hAnsi="仿宋_GB2312" w:eastAsia="仿宋_GB2312" w:cs="仿宋_GB2312"/>
          <w:color w:val="auto"/>
          <w:highlight w:val="none"/>
          <w:lang w:eastAsia="zh-CN"/>
        </w:rPr>
        <w:t>各县区、新区</w:t>
      </w:r>
      <w:r>
        <w:rPr>
          <w:rFonts w:hint="eastAsia" w:ascii="仿宋_GB2312" w:hAnsi="仿宋_GB2312" w:eastAsia="仿宋_GB2312" w:cs="仿宋_GB2312"/>
          <w:color w:val="auto"/>
          <w:highlight w:val="none"/>
        </w:rPr>
        <w:t>在农村生活污水治理项目方案制定、工程施工、项目验收等环节要充分征求村民意见，充分考虑村民对治理方式、环境改善需求、实施效果等方面的意见建议</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i w:val="0"/>
          <w:caps w:val="0"/>
          <w:color w:val="auto"/>
          <w:spacing w:val="0"/>
          <w:kern w:val="0"/>
          <w:sz w:val="32"/>
          <w:szCs w:val="22"/>
          <w:highlight w:val="none"/>
          <w:lang w:val="en-US" w:eastAsia="zh-CN" w:bidi="ar"/>
        </w:rPr>
        <w:t>建立共谋、共建、共管、共享的机制，提高村民对生活污水治理的参与感和满意率。</w:t>
      </w:r>
    </w:p>
    <w:p>
      <w:pPr>
        <w:widowControl/>
        <w:bidi w:val="0"/>
        <w:spacing w:line="540" w:lineRule="exact"/>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推动有条件地区设置村民环保监督员。农村生活污水治理和农村黑臭水体整治项目实施情况要在村务公告栏公示公开，并以手机APP、微信公众号等形式鼓励群众参与监管。鼓励村民参与农村生态环境监管，畅通12369环保热线和各种举报渠道，开展农村生态环境保护科普宣传，提高村民保护生态环境的责任感。</w:t>
      </w:r>
    </w:p>
    <w:p>
      <w:pPr>
        <w:pStyle w:val="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0"/>
        <w:textAlignment w:val="auto"/>
        <w:rPr>
          <w:rFonts w:hint="eastAsia" w:ascii="楷体_GB2312" w:hAnsi="楷体_GB2312" w:eastAsia="楷体_GB2312" w:cs="楷体_GB2312"/>
          <w:b w:val="0"/>
          <w:bCs/>
          <w:color w:val="auto"/>
          <w:szCs w:val="36"/>
          <w:highlight w:val="none"/>
          <w:lang w:val="en-US" w:eastAsia="zh-CN"/>
        </w:rPr>
      </w:pPr>
      <w:bookmarkStart w:id="112" w:name="_Toc26476_WPSOffice_Level2"/>
      <w:bookmarkStart w:id="113" w:name="_Toc11540"/>
      <w:bookmarkStart w:id="114" w:name="_Toc9706"/>
      <w:bookmarkStart w:id="115" w:name="_Toc23896"/>
      <w:bookmarkStart w:id="116" w:name="_Toc12694"/>
      <w:bookmarkStart w:id="117" w:name="_Toc9676"/>
      <w:bookmarkStart w:id="118" w:name="_Toc24402"/>
      <w:bookmarkStart w:id="119" w:name="_Toc5432"/>
      <w:r>
        <w:rPr>
          <w:rFonts w:hint="eastAsia" w:ascii="楷体_GB2312" w:hAnsi="楷体_GB2312" w:eastAsia="楷体_GB2312" w:cs="楷体_GB2312"/>
          <w:b w:val="0"/>
          <w:bCs/>
          <w:color w:val="auto"/>
          <w:szCs w:val="36"/>
          <w:highlight w:val="none"/>
          <w:lang w:val="en-US" w:eastAsia="zh-CN"/>
        </w:rPr>
        <w:t>（六）严格督导考核，落实主体责任</w:t>
      </w:r>
      <w:bookmarkEnd w:id="112"/>
      <w:bookmarkEnd w:id="113"/>
      <w:bookmarkEnd w:id="114"/>
      <w:bookmarkEnd w:id="115"/>
      <w:bookmarkEnd w:id="116"/>
      <w:bookmarkEnd w:id="117"/>
      <w:bookmarkEnd w:id="118"/>
      <w:bookmarkEnd w:id="119"/>
    </w:p>
    <w:p>
      <w:pPr>
        <w:bidi w:val="0"/>
        <w:spacing w:line="540" w:lineRule="exact"/>
        <w:rPr>
          <w:rFonts w:hint="eastAsia" w:ascii="仿宋_GB2312" w:hAnsi="仿宋_GB2312" w:eastAsia="仿宋_GB2312" w:cs="仿宋_GB2312"/>
          <w:color w:val="auto"/>
          <w:highlight w:val="none"/>
          <w:u w:val="none"/>
          <w:lang w:eastAsia="zh-CN"/>
        </w:rPr>
      </w:pPr>
      <w:r>
        <w:rPr>
          <w:rFonts w:hint="eastAsia" w:ascii="仿宋_GB2312" w:hAnsi="仿宋_GB2312" w:eastAsia="仿宋_GB2312" w:cs="仿宋_GB2312"/>
          <w:color w:val="auto"/>
          <w:highlight w:val="none"/>
          <w:lang w:val="en-US" w:eastAsia="zh-CN"/>
        </w:rPr>
        <w:t>各县区、新区</w:t>
      </w:r>
      <w:r>
        <w:rPr>
          <w:rFonts w:hint="eastAsia" w:ascii="仿宋_GB2312" w:hAnsi="仿宋_GB2312" w:eastAsia="仿宋_GB2312" w:cs="仿宋_GB2312"/>
          <w:color w:val="auto"/>
          <w:highlight w:val="none"/>
          <w:lang w:eastAsia="zh-CN"/>
        </w:rPr>
        <w:t>每年至少开展一次设施建设及设施运行情况抽查，对抽查</w:t>
      </w:r>
      <w:r>
        <w:rPr>
          <w:rFonts w:hint="eastAsia" w:ascii="仿宋_GB2312" w:hAnsi="仿宋_GB2312" w:eastAsia="仿宋_GB2312" w:cs="仿宋_GB2312"/>
          <w:color w:val="auto"/>
          <w:highlight w:val="none"/>
          <w:lang w:val="en-US" w:eastAsia="zh-CN"/>
        </w:rPr>
        <w:t>发现</w:t>
      </w:r>
      <w:r>
        <w:rPr>
          <w:rFonts w:hint="eastAsia" w:ascii="仿宋_GB2312" w:hAnsi="仿宋_GB2312" w:eastAsia="仿宋_GB2312" w:cs="仿宋_GB2312"/>
          <w:color w:val="auto"/>
          <w:highlight w:val="none"/>
          <w:lang w:eastAsia="zh-CN"/>
        </w:rPr>
        <w:t>问题</w:t>
      </w:r>
      <w:r>
        <w:rPr>
          <w:rFonts w:hint="eastAsia" w:ascii="仿宋_GB2312" w:hAnsi="仿宋_GB2312" w:eastAsia="仿宋_GB2312" w:cs="仿宋_GB2312"/>
          <w:color w:val="auto"/>
          <w:highlight w:val="none"/>
          <w:lang w:val="en-US" w:eastAsia="zh-CN"/>
        </w:rPr>
        <w:t>的</w:t>
      </w:r>
      <w:r>
        <w:rPr>
          <w:rFonts w:hint="eastAsia" w:ascii="仿宋_GB2312" w:hAnsi="仿宋_GB2312" w:eastAsia="仿宋_GB2312" w:cs="仿宋_GB2312"/>
          <w:color w:val="auto"/>
          <w:highlight w:val="none"/>
          <w:lang w:eastAsia="zh-CN"/>
        </w:rPr>
        <w:t>，要提出限期整改要求，逾期未整改到位的，应通报批评或约谈相关责任人。县级生态环境部门要将设施运行管理情况的监督检查纳入日常工作，确保设施运行维护有人监管、有人监测、</w:t>
      </w:r>
      <w:r>
        <w:rPr>
          <w:rFonts w:hint="eastAsia" w:ascii="仿宋_GB2312" w:hAnsi="仿宋_GB2312" w:eastAsia="仿宋_GB2312" w:cs="仿宋_GB2312"/>
          <w:color w:val="auto"/>
          <w:highlight w:val="none"/>
          <w:u w:val="none"/>
          <w:lang w:eastAsia="zh-CN"/>
        </w:rPr>
        <w:t>有人指导。</w:t>
      </w:r>
    </w:p>
    <w:p>
      <w:pPr>
        <w:keepNext w:val="0"/>
        <w:keepLines w:val="0"/>
        <w:widowControl/>
        <w:suppressLineNumbers w:val="0"/>
        <w:spacing w:line="540" w:lineRule="exact"/>
        <w:jc w:val="left"/>
        <w:rPr>
          <w:rFonts w:hint="eastAsia" w:ascii="仿宋_GB2312" w:hAnsi="仿宋_GB2312" w:eastAsia="仿宋_GB2312" w:cs="仿宋_GB2312"/>
          <w:i w:val="0"/>
          <w:caps w:val="0"/>
          <w:color w:val="auto"/>
          <w:spacing w:val="0"/>
          <w:kern w:val="0"/>
          <w:sz w:val="32"/>
          <w:szCs w:val="22"/>
          <w:highlight w:val="none"/>
          <w:u w:val="none"/>
          <w:lang w:val="en-US" w:eastAsia="zh-CN" w:bidi="ar"/>
        </w:rPr>
      </w:pPr>
      <w:r>
        <w:rPr>
          <w:rFonts w:hint="eastAsia" w:ascii="仿宋_GB2312" w:hAnsi="仿宋_GB2312" w:eastAsia="仿宋_GB2312" w:cs="仿宋_GB2312"/>
          <w:color w:val="auto"/>
          <w:highlight w:val="none"/>
          <w:u w:val="none"/>
          <w:lang w:eastAsia="zh-CN"/>
        </w:rPr>
        <w:t>市级有关部门定期组织开展监督检查。</w:t>
      </w:r>
      <w:r>
        <w:rPr>
          <w:rFonts w:hint="eastAsia" w:ascii="仿宋_GB2312" w:hAnsi="仿宋_GB2312" w:eastAsia="仿宋_GB2312" w:cs="仿宋_GB2312"/>
          <w:color w:val="auto"/>
          <w:highlight w:val="none"/>
          <w:u w:val="none"/>
        </w:rPr>
        <w:t>实行农村生活污水治理工作责任制，</w:t>
      </w:r>
      <w:r>
        <w:rPr>
          <w:rFonts w:hint="eastAsia" w:ascii="仿宋_GB2312" w:hAnsi="仿宋_GB2312" w:eastAsia="仿宋_GB2312" w:cs="仿宋_GB2312"/>
          <w:color w:val="auto"/>
          <w:highlight w:val="none"/>
          <w:u w:val="none"/>
          <w:lang w:val="en-US" w:eastAsia="zh-CN"/>
        </w:rPr>
        <w:t>将农村生活污水处理设施建设和运维</w:t>
      </w:r>
      <w:r>
        <w:rPr>
          <w:rFonts w:hint="eastAsia" w:ascii="仿宋_GB2312" w:hAnsi="仿宋_GB2312" w:eastAsia="仿宋_GB2312" w:cs="仿宋_GB2312"/>
          <w:color w:val="auto"/>
          <w:highlight w:val="none"/>
          <w:u w:val="none"/>
        </w:rPr>
        <w:t>纳入</w:t>
      </w:r>
      <w:r>
        <w:rPr>
          <w:rFonts w:hint="eastAsia" w:ascii="仿宋_GB2312" w:hAnsi="仿宋_GB2312" w:eastAsia="仿宋_GB2312" w:cs="仿宋_GB2312"/>
          <w:color w:val="auto"/>
          <w:highlight w:val="none"/>
          <w:u w:val="none"/>
          <w:lang w:eastAsia="zh-CN"/>
        </w:rPr>
        <w:t>绩效</w:t>
      </w:r>
      <w:r>
        <w:rPr>
          <w:rFonts w:hint="eastAsia" w:ascii="仿宋_GB2312" w:hAnsi="仿宋_GB2312" w:eastAsia="仿宋_GB2312" w:cs="仿宋_GB2312"/>
          <w:color w:val="auto"/>
          <w:highlight w:val="none"/>
          <w:u w:val="none"/>
        </w:rPr>
        <w:t>考核</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i w:val="0"/>
          <w:caps w:val="0"/>
          <w:color w:val="auto"/>
          <w:spacing w:val="0"/>
          <w:kern w:val="0"/>
          <w:sz w:val="32"/>
          <w:szCs w:val="22"/>
          <w:highlight w:val="none"/>
          <w:u w:val="none"/>
          <w:lang w:val="en-US" w:eastAsia="zh-CN" w:bidi="ar"/>
        </w:rPr>
        <w:t>乡村振兴战略实绩考核、</w:t>
      </w:r>
      <w:r>
        <w:rPr>
          <w:rFonts w:hint="eastAsia" w:ascii="仿宋_GB2312" w:hAnsi="仿宋_GB2312" w:eastAsia="仿宋_GB2312" w:cs="仿宋_GB2312"/>
          <w:color w:val="auto"/>
          <w:highlight w:val="none"/>
          <w:u w:val="none"/>
          <w:lang w:eastAsia="zh-CN"/>
        </w:rPr>
        <w:t>生态环保目标责任制</w:t>
      </w:r>
      <w:r>
        <w:rPr>
          <w:rFonts w:hint="eastAsia" w:ascii="仿宋_GB2312" w:hAnsi="仿宋_GB2312" w:eastAsia="仿宋_GB2312" w:cs="仿宋_GB2312"/>
          <w:i w:val="0"/>
          <w:caps w:val="0"/>
          <w:color w:val="auto"/>
          <w:spacing w:val="0"/>
          <w:kern w:val="0"/>
          <w:sz w:val="32"/>
          <w:szCs w:val="22"/>
          <w:highlight w:val="none"/>
          <w:u w:val="none"/>
          <w:lang w:val="en-US" w:eastAsia="zh-CN" w:bidi="ar"/>
        </w:rPr>
        <w:t>考核。加强考核结果应用，对问题突出、工作推进不力的地区和部门严肃问责。</w:t>
      </w:r>
    </w:p>
    <w:p>
      <w:pPr>
        <w:pStyle w:val="2"/>
        <w:spacing w:line="540" w:lineRule="exact"/>
        <w:rPr>
          <w:rFonts w:hint="eastAsia" w:ascii="仿宋_GB2312" w:hAnsi="仿宋_GB2312" w:eastAsia="仿宋_GB2312" w:cs="仿宋_GB2312"/>
          <w:i w:val="0"/>
          <w:caps w:val="0"/>
          <w:color w:val="auto"/>
          <w:spacing w:val="0"/>
          <w:kern w:val="0"/>
          <w:sz w:val="32"/>
          <w:szCs w:val="22"/>
          <w:highlight w:val="none"/>
          <w:lang w:val="en-US" w:eastAsia="zh-CN" w:bidi="ar"/>
        </w:rPr>
      </w:pPr>
    </w:p>
    <w:p>
      <w:pPr>
        <w:widowControl/>
        <w:spacing w:beforeLines="0" w:line="540" w:lineRule="exact"/>
        <w:jc w:val="left"/>
        <w:rPr>
          <w:rFonts w:hint="eastAsia" w:ascii="仿宋_GB2312" w:hAnsi="仿宋_GB2312" w:eastAsia="仿宋_GB2312" w:cs="仿宋_GB2312"/>
          <w:b w:val="0"/>
          <w:bCs w:val="0"/>
          <w:color w:val="auto"/>
          <w:highlight w:val="none"/>
          <w:lang w:bidi="ar"/>
        </w:rPr>
      </w:pPr>
      <w:r>
        <w:rPr>
          <w:rFonts w:hint="eastAsia" w:ascii="仿宋_GB2312" w:hAnsi="仿宋_GB2312" w:eastAsia="仿宋_GB2312" w:cs="仿宋_GB2312"/>
          <w:b w:val="0"/>
          <w:bCs w:val="0"/>
          <w:color w:val="auto"/>
          <w:highlight w:val="none"/>
          <w:lang w:bidi="ar"/>
        </w:rPr>
        <w:t>附件</w:t>
      </w:r>
      <w:r>
        <w:rPr>
          <w:rFonts w:hint="eastAsia" w:ascii="仿宋_GB2312" w:hAnsi="仿宋_GB2312" w:eastAsia="仿宋_GB2312" w:cs="仿宋_GB2312"/>
          <w:b w:val="0"/>
          <w:bCs w:val="0"/>
          <w:color w:val="auto"/>
          <w:highlight w:val="none"/>
          <w:lang w:eastAsia="zh-CN" w:bidi="ar"/>
        </w:rPr>
        <w:t>：</w:t>
      </w:r>
    </w:p>
    <w:p>
      <w:pPr>
        <w:widowControl/>
        <w:adjustRightInd/>
        <w:snapToGrid/>
        <w:spacing w:before="0" w:beforeLines="0" w:line="540" w:lineRule="exact"/>
        <w:ind w:left="1235" w:leftChars="186" w:hanging="640" w:hangingChars="200"/>
        <w:jc w:val="left"/>
        <w:rPr>
          <w:rFonts w:hint="eastAsia" w:ascii="仿宋_GB2312" w:hAnsi="仿宋_GB2312" w:eastAsia="仿宋_GB2312" w:cs="仿宋_GB2312"/>
          <w:b w:val="0"/>
          <w:bCs w:val="0"/>
          <w:color w:val="auto"/>
          <w:highlight w:val="none"/>
          <w:lang w:eastAsia="zh-CN" w:bidi="ar"/>
        </w:rPr>
      </w:pPr>
      <w:r>
        <w:rPr>
          <w:rFonts w:hint="eastAsia" w:ascii="仿宋_GB2312" w:hAnsi="仿宋_GB2312" w:eastAsia="仿宋_GB2312" w:cs="仿宋_GB2312"/>
          <w:b w:val="0"/>
          <w:bCs w:val="0"/>
          <w:color w:val="auto"/>
          <w:highlight w:val="none"/>
          <w:lang w:bidi="ar"/>
        </w:rPr>
        <w:t>表</w:t>
      </w:r>
      <w:r>
        <w:rPr>
          <w:rFonts w:hint="eastAsia" w:ascii="仿宋_GB2312" w:hAnsi="仿宋_GB2312" w:eastAsia="仿宋_GB2312" w:cs="仿宋_GB2312"/>
          <w:b w:val="0"/>
          <w:bCs w:val="0"/>
          <w:color w:val="auto"/>
          <w:highlight w:val="none"/>
          <w:lang w:val="en-US" w:eastAsia="zh-CN" w:bidi="ar"/>
        </w:rPr>
        <w:t>1 柳州市</w:t>
      </w:r>
      <w:r>
        <w:rPr>
          <w:rFonts w:hint="eastAsia" w:ascii="仿宋_GB2312" w:hAnsi="仿宋_GB2312" w:eastAsia="仿宋_GB2312" w:cs="仿宋_GB2312"/>
          <w:b w:val="0"/>
          <w:bCs w:val="0"/>
          <w:color w:val="auto"/>
          <w:highlight w:val="none"/>
          <w:lang w:bidi="ar"/>
        </w:rPr>
        <w:t>农村生活污水和农村黑臭水体治理任务分解表</w:t>
      </w:r>
      <w:r>
        <w:rPr>
          <w:rFonts w:hint="eastAsia" w:ascii="仿宋_GB2312" w:hAnsi="仿宋_GB2312" w:eastAsia="仿宋_GB2312" w:cs="仿宋_GB2312"/>
          <w:b w:val="0"/>
          <w:bCs w:val="0"/>
          <w:color w:val="auto"/>
          <w:highlight w:val="none"/>
          <w:lang w:eastAsia="zh-CN" w:bidi="ar"/>
        </w:rPr>
        <w:t>（</w:t>
      </w:r>
      <w:r>
        <w:rPr>
          <w:rFonts w:hint="eastAsia" w:ascii="仿宋_GB2312" w:hAnsi="仿宋_GB2312" w:eastAsia="仿宋_GB2312" w:cs="仿宋_GB2312"/>
          <w:b w:val="0"/>
          <w:bCs w:val="0"/>
          <w:color w:val="auto"/>
          <w:highlight w:val="none"/>
          <w:lang w:val="en-US" w:eastAsia="zh-CN" w:bidi="ar"/>
        </w:rPr>
        <w:t>2022-2025年</w:t>
      </w:r>
      <w:r>
        <w:rPr>
          <w:rFonts w:hint="eastAsia" w:ascii="仿宋_GB2312" w:hAnsi="仿宋_GB2312" w:eastAsia="仿宋_GB2312" w:cs="仿宋_GB2312"/>
          <w:b w:val="0"/>
          <w:bCs w:val="0"/>
          <w:color w:val="auto"/>
          <w:highlight w:val="none"/>
          <w:lang w:eastAsia="zh-CN" w:bidi="ar"/>
        </w:rPr>
        <w:t>）</w:t>
      </w:r>
    </w:p>
    <w:p>
      <w:pPr>
        <w:widowControl/>
        <w:adjustRightInd/>
        <w:snapToGrid/>
        <w:spacing w:before="0" w:beforeLines="0" w:line="540" w:lineRule="exact"/>
        <w:ind w:left="595" w:leftChars="186" w:firstLine="0" w:firstLineChars="0"/>
        <w:jc w:val="left"/>
        <w:rPr>
          <w:rFonts w:hint="eastAsia" w:ascii="仿宋_GB2312" w:hAnsi="仿宋_GB2312" w:eastAsia="仿宋_GB2312" w:cs="仿宋_GB2312"/>
          <w:b w:val="0"/>
          <w:bCs w:val="0"/>
          <w:color w:val="auto"/>
          <w:highlight w:val="none"/>
          <w:lang w:val="en-US" w:eastAsia="zh-CN" w:bidi="ar"/>
        </w:rPr>
      </w:pPr>
      <w:r>
        <w:rPr>
          <w:rFonts w:hint="eastAsia" w:ascii="仿宋_GB2312" w:hAnsi="仿宋_GB2312" w:eastAsia="仿宋_GB2312" w:cs="仿宋_GB2312"/>
          <w:b w:val="0"/>
          <w:bCs w:val="0"/>
          <w:color w:val="auto"/>
          <w:highlight w:val="none"/>
          <w:lang w:val="en-US" w:eastAsia="zh-CN" w:bidi="ar"/>
        </w:rPr>
        <w:t>表2 柳州市农村生活污水治理行政村覆盖目标</w:t>
      </w:r>
      <w:r>
        <w:rPr>
          <w:rFonts w:hint="eastAsia" w:ascii="仿宋_GB2312" w:hAnsi="仿宋_GB2312" w:eastAsia="仿宋_GB2312" w:cs="仿宋_GB2312"/>
          <w:b w:val="0"/>
          <w:bCs w:val="0"/>
          <w:color w:val="auto"/>
          <w:highlight w:val="none"/>
          <w:lang w:eastAsia="zh-CN" w:bidi="ar"/>
        </w:rPr>
        <w:t>（</w:t>
      </w:r>
      <w:r>
        <w:rPr>
          <w:rFonts w:hint="eastAsia" w:ascii="仿宋_GB2312" w:hAnsi="仿宋_GB2312" w:eastAsia="仿宋_GB2312" w:cs="仿宋_GB2312"/>
          <w:b w:val="0"/>
          <w:bCs w:val="0"/>
          <w:color w:val="auto"/>
          <w:highlight w:val="none"/>
          <w:lang w:val="en-US" w:eastAsia="zh-CN" w:bidi="ar"/>
        </w:rPr>
        <w:t>2022-2025年</w:t>
      </w:r>
      <w:r>
        <w:rPr>
          <w:rFonts w:hint="eastAsia" w:ascii="仿宋_GB2312" w:hAnsi="仿宋_GB2312" w:eastAsia="仿宋_GB2312" w:cs="仿宋_GB2312"/>
          <w:b w:val="0"/>
          <w:bCs w:val="0"/>
          <w:color w:val="auto"/>
          <w:highlight w:val="none"/>
          <w:lang w:eastAsia="zh-CN" w:bidi="ar"/>
        </w:rPr>
        <w:t>）</w:t>
      </w:r>
    </w:p>
    <w:p>
      <w:pPr>
        <w:widowControl/>
        <w:tabs>
          <w:tab w:val="center" w:pos="4153"/>
          <w:tab w:val="right" w:pos="8306"/>
        </w:tabs>
        <w:adjustRightInd/>
        <w:snapToGrid/>
        <w:spacing w:before="0" w:beforeLines="0" w:line="540" w:lineRule="exact"/>
        <w:ind w:firstLine="640" w:firstLineChars="200"/>
        <w:jc w:val="left"/>
        <w:rPr>
          <w:rFonts w:hint="eastAsia" w:ascii="仿宋_GB2312" w:hAnsi="仿宋_GB2312" w:eastAsia="仿宋_GB2312" w:cs="仿宋_GB2312"/>
          <w:b w:val="0"/>
          <w:bCs w:val="0"/>
          <w:color w:val="auto"/>
          <w:highlight w:val="none"/>
          <w:lang w:val="en-US" w:eastAsia="zh-CN" w:bidi="ar"/>
        </w:rPr>
      </w:pPr>
      <w:r>
        <w:rPr>
          <w:rFonts w:hint="eastAsia" w:ascii="仿宋_GB2312" w:hAnsi="仿宋_GB2312" w:eastAsia="仿宋_GB2312" w:cs="仿宋_GB2312"/>
          <w:b w:val="0"/>
          <w:bCs w:val="0"/>
          <w:color w:val="auto"/>
          <w:highlight w:val="none"/>
          <w:lang w:val="en-US" w:eastAsia="zh-CN" w:bidi="ar"/>
        </w:rPr>
        <w:t>表3 柳州市农村黑臭水体整治率目标</w:t>
      </w:r>
      <w:r>
        <w:rPr>
          <w:rFonts w:hint="eastAsia" w:ascii="仿宋_GB2312" w:hAnsi="仿宋_GB2312" w:eastAsia="仿宋_GB2312" w:cs="仿宋_GB2312"/>
          <w:b w:val="0"/>
          <w:bCs w:val="0"/>
          <w:color w:val="auto"/>
          <w:highlight w:val="none"/>
          <w:lang w:eastAsia="zh-CN" w:bidi="ar"/>
        </w:rPr>
        <w:t>（</w:t>
      </w:r>
      <w:r>
        <w:rPr>
          <w:rFonts w:hint="eastAsia" w:ascii="仿宋_GB2312" w:hAnsi="仿宋_GB2312" w:eastAsia="仿宋_GB2312" w:cs="仿宋_GB2312"/>
          <w:b w:val="0"/>
          <w:bCs w:val="0"/>
          <w:color w:val="auto"/>
          <w:highlight w:val="none"/>
          <w:lang w:val="en-US" w:eastAsia="zh-CN" w:bidi="ar"/>
        </w:rPr>
        <w:t>2022-2025年</w:t>
      </w:r>
      <w:r>
        <w:rPr>
          <w:rFonts w:hint="eastAsia" w:ascii="仿宋_GB2312" w:hAnsi="仿宋_GB2312" w:eastAsia="仿宋_GB2312" w:cs="仿宋_GB2312"/>
          <w:b w:val="0"/>
          <w:bCs w:val="0"/>
          <w:color w:val="auto"/>
          <w:highlight w:val="none"/>
          <w:lang w:eastAsia="zh-CN" w:bidi="ar"/>
        </w:rPr>
        <w:t>）</w:t>
      </w:r>
    </w:p>
    <w:p>
      <w:pPr>
        <w:widowControl/>
        <w:tabs>
          <w:tab w:val="center" w:pos="4153"/>
          <w:tab w:val="right" w:pos="8306"/>
        </w:tabs>
        <w:adjustRightInd/>
        <w:snapToGrid/>
        <w:spacing w:before="0" w:beforeLines="0" w:line="540" w:lineRule="exact"/>
        <w:ind w:left="1235" w:leftChars="186" w:hanging="640" w:hangingChars="200"/>
        <w:jc w:val="left"/>
        <w:rPr>
          <w:rFonts w:hint="eastAsia" w:ascii="仿宋_GB2312" w:hAnsi="仿宋_GB2312" w:eastAsia="仿宋_GB2312" w:cs="仿宋_GB2312"/>
          <w:b w:val="0"/>
          <w:bCs w:val="0"/>
          <w:color w:val="auto"/>
          <w:highlight w:val="none"/>
          <w:lang w:val="en-US" w:eastAsia="zh-CN" w:bidi="ar"/>
        </w:rPr>
      </w:pPr>
      <w:r>
        <w:rPr>
          <w:rFonts w:hint="eastAsia" w:ascii="仿宋_GB2312" w:hAnsi="仿宋_GB2312" w:eastAsia="仿宋_GB2312" w:cs="仿宋_GB2312"/>
          <w:b w:val="0"/>
          <w:bCs w:val="0"/>
          <w:color w:val="auto"/>
          <w:highlight w:val="none"/>
          <w:lang w:val="en-US" w:eastAsia="zh-CN" w:bidi="ar"/>
        </w:rPr>
        <w:t xml:space="preserve">表4 柳州市农村生活污水优先治理的行政村统计表 </w:t>
      </w:r>
      <w:r>
        <w:rPr>
          <w:rFonts w:hint="eastAsia" w:ascii="仿宋_GB2312" w:hAnsi="仿宋_GB2312" w:eastAsia="仿宋_GB2312" w:cs="仿宋_GB2312"/>
          <w:b w:val="0"/>
          <w:bCs w:val="0"/>
          <w:color w:val="auto"/>
          <w:highlight w:val="none"/>
          <w:lang w:eastAsia="zh-CN" w:bidi="ar"/>
        </w:rPr>
        <w:t>（</w:t>
      </w:r>
      <w:r>
        <w:rPr>
          <w:rFonts w:hint="eastAsia" w:ascii="仿宋_GB2312" w:hAnsi="仿宋_GB2312" w:eastAsia="仿宋_GB2312" w:cs="仿宋_GB2312"/>
          <w:b w:val="0"/>
          <w:bCs w:val="0"/>
          <w:color w:val="auto"/>
          <w:highlight w:val="none"/>
          <w:lang w:val="en-US" w:eastAsia="zh-CN" w:bidi="ar"/>
        </w:rPr>
        <w:t>2022-2025年</w:t>
      </w:r>
      <w:r>
        <w:rPr>
          <w:rFonts w:hint="eastAsia" w:ascii="仿宋_GB2312" w:hAnsi="仿宋_GB2312" w:eastAsia="仿宋_GB2312" w:cs="仿宋_GB2312"/>
          <w:b w:val="0"/>
          <w:bCs w:val="0"/>
          <w:color w:val="auto"/>
          <w:highlight w:val="none"/>
          <w:lang w:eastAsia="zh-CN" w:bidi="ar"/>
        </w:rPr>
        <w:t>）</w:t>
      </w:r>
    </w:p>
    <w:p>
      <w:pPr>
        <w:widowControl/>
        <w:spacing w:line="540" w:lineRule="exact"/>
        <w:jc w:val="left"/>
        <w:rPr>
          <w:rFonts w:hint="eastAsia" w:ascii="仿宋_GB2312" w:hAnsi="仿宋_GB2312" w:eastAsia="仿宋_GB2312" w:cs="仿宋_GB2312"/>
          <w:b w:val="0"/>
          <w:bCs w:val="0"/>
          <w:color w:val="auto"/>
          <w:kern w:val="0"/>
          <w:sz w:val="32"/>
          <w:szCs w:val="22"/>
          <w:highlight w:val="none"/>
          <w:lang w:val="en-US" w:eastAsia="zh-CN" w:bidi="ar"/>
        </w:rPr>
      </w:pPr>
      <w:r>
        <w:rPr>
          <w:rFonts w:hint="eastAsia" w:ascii="仿宋_GB2312" w:hAnsi="仿宋_GB2312" w:eastAsia="仿宋_GB2312" w:cs="仿宋_GB2312"/>
          <w:b w:val="0"/>
          <w:bCs w:val="0"/>
          <w:color w:val="auto"/>
          <w:kern w:val="0"/>
          <w:sz w:val="32"/>
          <w:szCs w:val="22"/>
          <w:highlight w:val="none"/>
          <w:lang w:val="en-US" w:eastAsia="zh-CN" w:bidi="ar"/>
        </w:rPr>
        <w:t xml:space="preserve">表5 </w:t>
      </w:r>
      <w:r>
        <w:rPr>
          <w:rFonts w:hint="eastAsia" w:ascii="仿宋_GB2312" w:hAnsi="仿宋_GB2312" w:eastAsia="仿宋_GB2312" w:cs="仿宋_GB2312"/>
          <w:b w:val="0"/>
          <w:bCs w:val="0"/>
          <w:color w:val="auto"/>
          <w:highlight w:val="none"/>
          <w:lang w:val="en-US" w:eastAsia="zh-CN" w:bidi="ar"/>
        </w:rPr>
        <w:t>柳州市</w:t>
      </w:r>
      <w:r>
        <w:rPr>
          <w:rFonts w:hint="eastAsia" w:ascii="仿宋_GB2312" w:hAnsi="仿宋_GB2312" w:eastAsia="仿宋_GB2312" w:cs="仿宋_GB2312"/>
          <w:b w:val="0"/>
          <w:bCs w:val="0"/>
          <w:color w:val="auto"/>
          <w:kern w:val="0"/>
          <w:sz w:val="32"/>
          <w:szCs w:val="22"/>
          <w:highlight w:val="none"/>
          <w:lang w:val="en-US" w:eastAsia="zh-CN" w:bidi="ar"/>
        </w:rPr>
        <w:t>农村黑臭水体治理实施清单表</w:t>
      </w:r>
      <w:r>
        <w:rPr>
          <w:rFonts w:hint="eastAsia" w:ascii="仿宋_GB2312" w:hAnsi="仿宋_GB2312" w:eastAsia="仿宋_GB2312" w:cs="仿宋_GB2312"/>
          <w:b w:val="0"/>
          <w:bCs w:val="0"/>
          <w:color w:val="auto"/>
          <w:highlight w:val="none"/>
          <w:lang w:eastAsia="zh-CN" w:bidi="ar"/>
        </w:rPr>
        <w:t>（</w:t>
      </w:r>
      <w:r>
        <w:rPr>
          <w:rFonts w:hint="eastAsia" w:ascii="仿宋_GB2312" w:hAnsi="仿宋_GB2312" w:eastAsia="仿宋_GB2312" w:cs="仿宋_GB2312"/>
          <w:b w:val="0"/>
          <w:bCs w:val="0"/>
          <w:color w:val="auto"/>
          <w:highlight w:val="none"/>
          <w:lang w:val="en-US" w:eastAsia="zh-CN" w:bidi="ar"/>
        </w:rPr>
        <w:t>2022-2025年</w:t>
      </w:r>
      <w:r>
        <w:rPr>
          <w:rFonts w:hint="eastAsia" w:ascii="仿宋_GB2312" w:hAnsi="仿宋_GB2312" w:eastAsia="仿宋_GB2312" w:cs="仿宋_GB2312"/>
          <w:b w:val="0"/>
          <w:bCs w:val="0"/>
          <w:color w:val="auto"/>
          <w:highlight w:val="none"/>
          <w:lang w:eastAsia="zh-CN" w:bidi="ar"/>
        </w:rPr>
        <w:t>）</w:t>
      </w:r>
    </w:p>
    <w:p>
      <w:pPr>
        <w:pStyle w:val="2"/>
        <w:spacing w:line="560" w:lineRule="exact"/>
        <w:ind w:left="0" w:leftChars="0" w:firstLine="0" w:firstLineChars="0"/>
        <w:jc w:val="both"/>
        <w:rPr>
          <w:rFonts w:hint="default" w:cs="宋体"/>
          <w:color w:val="auto"/>
          <w:highlight w:val="yellow"/>
        </w:rPr>
      </w:pPr>
    </w:p>
    <w:p>
      <w:pPr>
        <w:ind w:firstLine="0" w:firstLineChars="0"/>
        <w:jc w:val="left"/>
        <w:rPr>
          <w:rFonts w:hint="default" w:ascii="Times New Roman" w:hAnsi="Times New Roman" w:cs="Times New Roman"/>
          <w:b/>
          <w:bCs/>
          <w:color w:val="auto"/>
          <w:highlight w:val="none"/>
        </w:rPr>
        <w:sectPr>
          <w:headerReference r:id="rId5" w:type="default"/>
          <w:footerReference r:id="rId6" w:type="default"/>
          <w:pgSz w:w="11911" w:h="16838"/>
          <w:pgMar w:top="1417" w:right="1247" w:bottom="1417" w:left="1247" w:header="964" w:footer="1417" w:gutter="0"/>
          <w:pgBorders w:offsetFrom="page">
            <w:top w:val="none" w:sz="0" w:space="0"/>
            <w:left w:val="none" w:sz="0" w:space="0"/>
            <w:bottom w:val="none" w:sz="0" w:space="0"/>
            <w:right w:val="none" w:sz="0" w:space="0"/>
          </w:pgBorders>
          <w:pgNumType w:fmt="decimal"/>
          <w:cols w:space="720" w:num="1"/>
          <w:rtlGutter w:val="0"/>
          <w:docGrid w:linePitch="435" w:charSpace="0"/>
        </w:sectPr>
      </w:pPr>
      <w:bookmarkStart w:id="120" w:name="_Toc21753"/>
      <w:bookmarkStart w:id="121" w:name="_Toc27820_WPSOffice_Level1"/>
      <w:bookmarkStart w:id="122" w:name="_Toc27926_WPSOffice_Level1"/>
      <w:bookmarkStart w:id="123" w:name="_Toc14875"/>
      <w:bookmarkStart w:id="124" w:name="_Toc13891"/>
    </w:p>
    <w:p>
      <w:pPr>
        <w:ind w:firstLine="0" w:firstLineChars="0"/>
        <w:jc w:val="left"/>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附件</w:t>
      </w:r>
      <w:r>
        <w:rPr>
          <w:rFonts w:hint="default" w:ascii="Times New Roman" w:hAnsi="Times New Roman" w:cs="Times New Roman"/>
          <w:b/>
          <w:bCs/>
          <w:color w:val="auto"/>
          <w:highlight w:val="none"/>
          <w:lang w:eastAsia="zh-CN"/>
        </w:rPr>
        <w:t>：</w:t>
      </w:r>
      <w:bookmarkEnd w:id="120"/>
      <w:bookmarkEnd w:id="121"/>
      <w:bookmarkEnd w:id="122"/>
      <w:bookmarkEnd w:id="123"/>
      <w:bookmarkEnd w:id="124"/>
    </w:p>
    <w:p>
      <w:pPr>
        <w:ind w:left="0" w:leftChars="0" w:firstLine="0" w:firstLineChars="0"/>
        <w:jc w:val="center"/>
        <w:rPr>
          <w:rFonts w:hint="eastAsia" w:cs="Times New Roman"/>
          <w:b/>
          <w:bCs/>
          <w:color w:val="auto"/>
          <w:highlight w:val="none"/>
          <w:lang w:eastAsia="zh-CN"/>
        </w:rPr>
      </w:pPr>
      <w:bookmarkStart w:id="125" w:name="_Toc11537"/>
      <w:r>
        <w:rPr>
          <w:rFonts w:hint="default" w:ascii="Times New Roman" w:hAnsi="Times New Roman" w:cs="Times New Roman"/>
          <w:b/>
          <w:bCs/>
          <w:color w:val="auto"/>
          <w:highlight w:val="none"/>
        </w:rPr>
        <w:t>表</w:t>
      </w:r>
      <w:r>
        <w:rPr>
          <w:rFonts w:hint="default" w:ascii="Times New Roman" w:hAnsi="Times New Roman" w:cs="Times New Roman"/>
          <w:b/>
          <w:bCs/>
          <w:color w:val="auto"/>
          <w:highlight w:val="none"/>
          <w:lang w:val="en-US" w:eastAsia="zh-CN"/>
        </w:rPr>
        <w:t>1</w:t>
      </w:r>
      <w:r>
        <w:rPr>
          <w:rFonts w:hint="eastAsia" w:cs="Times New Roman"/>
          <w:b/>
          <w:bCs/>
          <w:color w:val="auto"/>
          <w:highlight w:val="none"/>
          <w:lang w:val="en-US" w:eastAsia="zh-CN"/>
        </w:rPr>
        <w:t xml:space="preserve"> 柳州市</w:t>
      </w:r>
      <w:r>
        <w:rPr>
          <w:rFonts w:hint="default" w:ascii="Times New Roman" w:hAnsi="Times New Roman" w:cs="Times New Roman"/>
          <w:b/>
          <w:bCs/>
          <w:color w:val="auto"/>
          <w:highlight w:val="none"/>
        </w:rPr>
        <w:t>农村生活污水和农村黑臭水体治理任务分解表</w:t>
      </w:r>
    </w:p>
    <w:p>
      <w:pPr>
        <w:ind w:left="0" w:leftChars="0" w:firstLine="0" w:firstLineChars="0"/>
        <w:jc w:val="center"/>
        <w:rPr>
          <w:rFonts w:hint="default" w:ascii="Times New Roman" w:hAnsi="Times New Roman" w:cs="Times New Roman"/>
          <w:color w:val="auto"/>
          <w:highlight w:val="none"/>
        </w:rPr>
      </w:pPr>
      <w:r>
        <w:rPr>
          <w:rFonts w:hint="eastAsia" w:cs="Times New Roman"/>
          <w:b/>
          <w:bCs/>
          <w:color w:val="auto"/>
          <w:highlight w:val="none"/>
          <w:lang w:eastAsia="zh-CN"/>
        </w:rPr>
        <w:t>（</w:t>
      </w:r>
      <w:r>
        <w:rPr>
          <w:rFonts w:hint="eastAsia" w:cs="Times New Roman"/>
          <w:b/>
          <w:bCs/>
          <w:color w:val="auto"/>
          <w:highlight w:val="none"/>
          <w:lang w:val="en-US" w:eastAsia="zh-CN"/>
        </w:rPr>
        <w:t>2022-2025年</w:t>
      </w:r>
      <w:r>
        <w:rPr>
          <w:rFonts w:hint="eastAsia" w:cs="Times New Roman"/>
          <w:b/>
          <w:bCs/>
          <w:color w:val="auto"/>
          <w:highlight w:val="none"/>
          <w:lang w:eastAsia="zh-CN"/>
        </w:rPr>
        <w:t>）</w:t>
      </w:r>
      <w:bookmarkEnd w:id="125"/>
    </w:p>
    <w:tbl>
      <w:tblPr>
        <w:tblStyle w:val="16"/>
        <w:tblW w:w="96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4"/>
        <w:gridCol w:w="1401"/>
        <w:gridCol w:w="1000"/>
        <w:gridCol w:w="1118"/>
        <w:gridCol w:w="1118"/>
        <w:gridCol w:w="1118"/>
        <w:gridCol w:w="1120"/>
        <w:gridCol w:w="1114"/>
        <w:gridCol w:w="1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atLeast"/>
          <w:tblHeader/>
        </w:trPr>
        <w:tc>
          <w:tcPr>
            <w:tcW w:w="292"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rPr>
            </w:pPr>
            <w:bookmarkStart w:id="126" w:name="_Toc31905_WPSOffice_Level1"/>
            <w:bookmarkStart w:id="127" w:name="_Toc6704_WPSOffice_Level1"/>
            <w:bookmarkStart w:id="128" w:name="_Toc16288_WPSOffice_Level1"/>
            <w:bookmarkStart w:id="129" w:name="_Toc13503_WPSOffice_Level1"/>
            <w:bookmarkStart w:id="130" w:name="_Toc17320_WPSOffice_Level1"/>
            <w:bookmarkStart w:id="131" w:name="_Toc10526"/>
            <w:bookmarkStart w:id="132" w:name="_Toc9715"/>
            <w:bookmarkStart w:id="133" w:name="_Toc8321_WPSOffice_Level1"/>
            <w:bookmarkStart w:id="134" w:name="_Toc32731_WPSOffice_Level1"/>
            <w:r>
              <w:rPr>
                <w:rFonts w:hint="default" w:ascii="Times New Roman" w:hAnsi="Times New Roman" w:eastAsia="仿宋" w:cs="Times New Roman"/>
                <w:b/>
                <w:bCs/>
                <w:i w:val="0"/>
                <w:color w:val="auto"/>
                <w:kern w:val="0"/>
                <w:sz w:val="24"/>
                <w:szCs w:val="24"/>
                <w:highlight w:val="none"/>
                <w:u w:val="none"/>
                <w:lang w:val="en-US" w:eastAsia="zh-CN" w:bidi="ar"/>
              </w:rPr>
              <w:t>序号</w:t>
            </w:r>
          </w:p>
        </w:tc>
        <w:tc>
          <w:tcPr>
            <w:tcW w:w="724"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rPr>
            </w:pPr>
            <w:r>
              <w:rPr>
                <w:rFonts w:hint="eastAsia" w:cs="Times New Roman"/>
                <w:b/>
                <w:bCs/>
                <w:i w:val="0"/>
                <w:color w:val="auto"/>
                <w:kern w:val="0"/>
                <w:sz w:val="24"/>
                <w:szCs w:val="24"/>
                <w:highlight w:val="none"/>
                <w:u w:val="none"/>
                <w:lang w:val="en-US" w:eastAsia="zh-CN" w:bidi="ar"/>
              </w:rPr>
              <w:t>县区、新区</w:t>
            </w:r>
          </w:p>
        </w:tc>
        <w:tc>
          <w:tcPr>
            <w:tcW w:w="517"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rPr>
            </w:pPr>
            <w:r>
              <w:rPr>
                <w:rFonts w:hint="default" w:ascii="Times New Roman" w:hAnsi="Times New Roman" w:eastAsia="仿宋" w:cs="Times New Roman"/>
                <w:b/>
                <w:bCs/>
                <w:i w:val="0"/>
                <w:color w:val="auto"/>
                <w:kern w:val="0"/>
                <w:sz w:val="24"/>
                <w:szCs w:val="24"/>
                <w:highlight w:val="none"/>
                <w:u w:val="none"/>
                <w:lang w:val="en-US" w:eastAsia="zh-CN" w:bidi="ar"/>
              </w:rPr>
              <w:t>行政村数量（个）</w:t>
            </w:r>
          </w:p>
        </w:tc>
        <w:tc>
          <w:tcPr>
            <w:tcW w:w="2313" w:type="pct"/>
            <w:gridSpan w:val="4"/>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kern w:val="0"/>
                <w:sz w:val="24"/>
                <w:szCs w:val="24"/>
                <w:highlight w:val="none"/>
                <w:u w:val="none"/>
                <w:lang w:val="en-US" w:eastAsia="zh-CN" w:bidi="ar"/>
              </w:rPr>
            </w:pPr>
            <w:r>
              <w:rPr>
                <w:rFonts w:hint="default" w:ascii="Times New Roman" w:hAnsi="Times New Roman" w:eastAsia="仿宋" w:cs="Times New Roman"/>
                <w:b/>
                <w:bCs/>
                <w:i w:val="0"/>
                <w:color w:val="auto"/>
                <w:kern w:val="0"/>
                <w:sz w:val="24"/>
                <w:szCs w:val="24"/>
                <w:highlight w:val="none"/>
                <w:u w:val="none"/>
                <w:lang w:val="en-US" w:eastAsia="zh-CN" w:bidi="ar"/>
              </w:rPr>
              <w:t>农村生活污水</w:t>
            </w:r>
          </w:p>
        </w:tc>
        <w:tc>
          <w:tcPr>
            <w:tcW w:w="1152" w:type="pct"/>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rPr>
            </w:pPr>
            <w:r>
              <w:rPr>
                <w:rFonts w:hint="default" w:ascii="Times New Roman" w:hAnsi="Times New Roman" w:eastAsia="仿宋" w:cs="Times New Roman"/>
                <w:b/>
                <w:bCs/>
                <w:i w:val="0"/>
                <w:color w:val="auto"/>
                <w:kern w:val="0"/>
                <w:sz w:val="24"/>
                <w:szCs w:val="24"/>
                <w:highlight w:val="none"/>
                <w:u w:val="none"/>
                <w:lang w:val="en-US" w:eastAsia="zh-CN" w:bidi="ar"/>
              </w:rPr>
              <w:t>农村黑臭水体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25" w:hRule="atLeast"/>
          <w:tblHeader/>
        </w:trPr>
        <w:tc>
          <w:tcPr>
            <w:tcW w:w="292"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outlineLvl w:val="9"/>
              <w:rPr>
                <w:rFonts w:hint="default" w:ascii="Times New Roman" w:hAnsi="Times New Roman" w:eastAsia="仿宋" w:cs="Times New Roman"/>
                <w:b/>
                <w:bCs/>
                <w:i w:val="0"/>
                <w:color w:val="auto"/>
                <w:sz w:val="24"/>
                <w:szCs w:val="24"/>
                <w:highlight w:val="none"/>
                <w:u w:val="none"/>
              </w:rPr>
            </w:pPr>
          </w:p>
        </w:tc>
        <w:tc>
          <w:tcPr>
            <w:tcW w:w="724"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ind w:firstLine="0" w:firstLineChars="0"/>
              <w:jc w:val="center"/>
              <w:outlineLvl w:val="9"/>
              <w:rPr>
                <w:rFonts w:hint="default" w:ascii="Times New Roman" w:hAnsi="Times New Roman" w:eastAsia="仿宋" w:cs="Times New Roman"/>
                <w:b/>
                <w:bCs/>
                <w:i w:val="0"/>
                <w:color w:val="auto"/>
                <w:sz w:val="24"/>
                <w:szCs w:val="24"/>
                <w:highlight w:val="none"/>
                <w:u w:val="none"/>
              </w:rPr>
            </w:pPr>
          </w:p>
        </w:tc>
        <w:tc>
          <w:tcPr>
            <w:tcW w:w="517"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ind w:firstLine="0" w:firstLineChars="0"/>
              <w:jc w:val="center"/>
              <w:outlineLvl w:val="9"/>
              <w:rPr>
                <w:rFonts w:hint="default" w:ascii="Times New Roman" w:hAnsi="Times New Roman" w:eastAsia="仿宋" w:cs="Times New Roman"/>
                <w:b/>
                <w:bCs/>
                <w:i w:val="0"/>
                <w:color w:val="auto"/>
                <w:sz w:val="24"/>
                <w:szCs w:val="24"/>
                <w:highlight w:val="none"/>
                <w:u w:val="none"/>
              </w:rPr>
            </w:pPr>
          </w:p>
        </w:tc>
        <w:tc>
          <w:tcPr>
            <w:tcW w:w="5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lang w:val="en-US"/>
              </w:rPr>
            </w:pPr>
            <w:r>
              <w:rPr>
                <w:rFonts w:hint="default" w:ascii="Times New Roman" w:hAnsi="Times New Roman" w:cs="Times New Roman"/>
                <w:b/>
                <w:bCs/>
                <w:i w:val="0"/>
                <w:color w:val="auto"/>
                <w:kern w:val="0"/>
                <w:sz w:val="24"/>
                <w:szCs w:val="24"/>
                <w:highlight w:val="none"/>
                <w:u w:val="none"/>
                <w:lang w:val="en-US" w:eastAsia="zh-CN" w:bidi="ar"/>
              </w:rPr>
              <w:t>已完成阶段性治理的行政村数量（个）</w:t>
            </w:r>
            <w:r>
              <w:rPr>
                <w:rFonts w:hint="eastAsia" w:cs="Times New Roman"/>
                <w:b/>
                <w:bCs/>
                <w:i w:val="0"/>
                <w:color w:val="auto"/>
                <w:kern w:val="0"/>
                <w:sz w:val="24"/>
                <w:szCs w:val="24"/>
                <w:highlight w:val="none"/>
                <w:u w:val="none"/>
                <w:lang w:val="en-US" w:eastAsia="zh-CN" w:bidi="ar"/>
              </w:rPr>
              <w:t>*</w:t>
            </w:r>
          </w:p>
        </w:tc>
        <w:tc>
          <w:tcPr>
            <w:tcW w:w="5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rPr>
            </w:pPr>
            <w:r>
              <w:rPr>
                <w:rFonts w:hint="default" w:ascii="Times New Roman" w:hAnsi="Times New Roman" w:eastAsia="仿宋" w:cs="Times New Roman"/>
                <w:b/>
                <w:bCs/>
                <w:i w:val="0"/>
                <w:color w:val="auto"/>
                <w:kern w:val="0"/>
                <w:sz w:val="24"/>
                <w:szCs w:val="24"/>
                <w:highlight w:val="none"/>
                <w:u w:val="none"/>
                <w:lang w:val="en-US" w:eastAsia="zh-CN" w:bidi="ar"/>
              </w:rPr>
              <w:t>202</w:t>
            </w:r>
            <w:r>
              <w:rPr>
                <w:rFonts w:hint="eastAsia" w:cs="Times New Roman"/>
                <w:b/>
                <w:bCs/>
                <w:i w:val="0"/>
                <w:color w:val="auto"/>
                <w:kern w:val="0"/>
                <w:sz w:val="24"/>
                <w:szCs w:val="24"/>
                <w:highlight w:val="none"/>
                <w:u w:val="none"/>
                <w:lang w:val="en-US" w:eastAsia="zh-CN" w:bidi="ar"/>
              </w:rPr>
              <w:t>1</w:t>
            </w:r>
            <w:r>
              <w:rPr>
                <w:rFonts w:hint="default" w:ascii="Times New Roman" w:hAnsi="Times New Roman" w:eastAsia="仿宋" w:cs="Times New Roman"/>
                <w:b/>
                <w:bCs/>
                <w:i w:val="0"/>
                <w:color w:val="auto"/>
                <w:kern w:val="0"/>
                <w:sz w:val="24"/>
                <w:szCs w:val="24"/>
                <w:highlight w:val="none"/>
                <w:u w:val="none"/>
                <w:lang w:val="en-US" w:eastAsia="zh-CN" w:bidi="ar"/>
              </w:rPr>
              <w:t>年</w:t>
            </w:r>
            <w:r>
              <w:rPr>
                <w:rFonts w:hint="eastAsia" w:cs="Times New Roman"/>
                <w:b/>
                <w:bCs/>
                <w:i w:val="0"/>
                <w:color w:val="auto"/>
                <w:kern w:val="0"/>
                <w:sz w:val="24"/>
                <w:szCs w:val="24"/>
                <w:highlight w:val="none"/>
                <w:u w:val="none"/>
                <w:lang w:val="en-US" w:eastAsia="zh-CN" w:bidi="ar"/>
              </w:rPr>
              <w:t>现状</w:t>
            </w:r>
            <w:r>
              <w:rPr>
                <w:rFonts w:hint="default" w:ascii="Times New Roman" w:hAnsi="Times New Roman" w:eastAsia="仿宋" w:cs="Times New Roman"/>
                <w:b/>
                <w:bCs/>
                <w:i w:val="0"/>
                <w:color w:val="auto"/>
                <w:kern w:val="0"/>
                <w:sz w:val="24"/>
                <w:szCs w:val="24"/>
                <w:highlight w:val="none"/>
                <w:u w:val="none"/>
                <w:lang w:val="en-US" w:eastAsia="zh-CN" w:bidi="ar"/>
              </w:rPr>
              <w:t>值</w:t>
            </w:r>
            <w:r>
              <w:rPr>
                <w:rFonts w:hint="eastAsia" w:cs="Times New Roman"/>
                <w:b/>
                <w:bCs/>
                <w:i w:val="0"/>
                <w:color w:val="auto"/>
                <w:kern w:val="0"/>
                <w:sz w:val="24"/>
                <w:szCs w:val="24"/>
                <w:highlight w:val="none"/>
                <w:u w:val="none"/>
                <w:lang w:val="en-US" w:eastAsia="zh-CN" w:bidi="ar"/>
              </w:rPr>
              <w:t>*</w:t>
            </w:r>
          </w:p>
        </w:tc>
        <w:tc>
          <w:tcPr>
            <w:tcW w:w="5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kern w:val="0"/>
                <w:sz w:val="24"/>
                <w:szCs w:val="24"/>
                <w:highlight w:val="none"/>
                <w:u w:val="none"/>
                <w:lang w:val="en-US" w:eastAsia="zh-CN" w:bidi="ar"/>
              </w:rPr>
            </w:pPr>
            <w:r>
              <w:rPr>
                <w:rFonts w:hint="default" w:ascii="Times New Roman" w:hAnsi="Times New Roman" w:eastAsia="仿宋" w:cs="Times New Roman"/>
                <w:b/>
                <w:bCs/>
                <w:i w:val="0"/>
                <w:color w:val="auto"/>
                <w:kern w:val="0"/>
                <w:sz w:val="24"/>
                <w:szCs w:val="24"/>
                <w:highlight w:val="none"/>
                <w:u w:val="none"/>
                <w:lang w:val="en-US" w:eastAsia="zh-CN" w:bidi="ar"/>
              </w:rPr>
              <w:t>2025年目标值</w:t>
            </w:r>
          </w:p>
        </w:tc>
        <w:tc>
          <w:tcPr>
            <w:tcW w:w="5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rPr>
            </w:pPr>
            <w:r>
              <w:rPr>
                <w:rFonts w:hint="default" w:ascii="Times New Roman" w:hAnsi="Times New Roman" w:eastAsia="仿宋" w:cs="Times New Roman"/>
                <w:b/>
                <w:bCs/>
                <w:i w:val="0"/>
                <w:color w:val="auto"/>
                <w:kern w:val="0"/>
                <w:sz w:val="24"/>
                <w:szCs w:val="24"/>
                <w:highlight w:val="none"/>
                <w:u w:val="none"/>
                <w:lang w:val="en-US" w:eastAsia="zh-CN" w:bidi="ar"/>
              </w:rPr>
              <w:t>新增治理行政村数量（个）</w:t>
            </w:r>
          </w:p>
        </w:tc>
        <w:tc>
          <w:tcPr>
            <w:tcW w:w="5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rPr>
            </w:pPr>
            <w:r>
              <w:rPr>
                <w:rFonts w:hint="default" w:ascii="Times New Roman" w:hAnsi="Times New Roman" w:eastAsia="仿宋" w:cs="Times New Roman"/>
                <w:b/>
                <w:bCs/>
                <w:i w:val="0"/>
                <w:color w:val="auto"/>
                <w:kern w:val="0"/>
                <w:sz w:val="24"/>
                <w:szCs w:val="24"/>
                <w:highlight w:val="none"/>
                <w:u w:val="none"/>
                <w:lang w:val="en-US" w:eastAsia="zh-CN" w:bidi="ar"/>
              </w:rPr>
              <w:t>农村黑臭水体治理数量（条）</w:t>
            </w:r>
          </w:p>
        </w:tc>
        <w:tc>
          <w:tcPr>
            <w:tcW w:w="5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0" w:firstLineChars="0"/>
              <w:jc w:val="center"/>
              <w:textAlignment w:val="center"/>
              <w:outlineLvl w:val="9"/>
              <w:rPr>
                <w:rFonts w:hint="default" w:ascii="Times New Roman" w:hAnsi="Times New Roman" w:eastAsia="仿宋" w:cs="Times New Roman"/>
                <w:b/>
                <w:bCs/>
                <w:i w:val="0"/>
                <w:color w:val="auto"/>
                <w:sz w:val="24"/>
                <w:szCs w:val="24"/>
                <w:highlight w:val="none"/>
                <w:u w:val="none"/>
              </w:rPr>
            </w:pPr>
            <w:r>
              <w:rPr>
                <w:rFonts w:hint="default" w:ascii="Times New Roman" w:hAnsi="Times New Roman" w:eastAsia="仿宋" w:cs="Times New Roman"/>
                <w:b/>
                <w:bCs/>
                <w:i w:val="0"/>
                <w:color w:val="auto"/>
                <w:kern w:val="0"/>
                <w:sz w:val="24"/>
                <w:szCs w:val="24"/>
                <w:highlight w:val="none"/>
                <w:u w:val="none"/>
                <w:lang w:val="en-US" w:eastAsia="zh-CN" w:bidi="ar"/>
              </w:rPr>
              <w:t>国控农村黑臭水体治理数量（条）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w:t>
            </w:r>
          </w:p>
        </w:tc>
        <w:tc>
          <w:tcPr>
            <w:tcW w:w="7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城中区</w:t>
            </w:r>
          </w:p>
        </w:tc>
        <w:tc>
          <w:tcPr>
            <w:tcW w:w="517"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578"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66.67%</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579"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2</w:t>
            </w:r>
          </w:p>
        </w:tc>
        <w:tc>
          <w:tcPr>
            <w:tcW w:w="576" w:type="pct"/>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9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w:t>
            </w:r>
          </w:p>
        </w:tc>
        <w:tc>
          <w:tcPr>
            <w:tcW w:w="7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柳北区</w:t>
            </w:r>
          </w:p>
        </w:tc>
        <w:tc>
          <w:tcPr>
            <w:tcW w:w="517"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w:t>
            </w:r>
          </w:p>
        </w:tc>
        <w:tc>
          <w:tcPr>
            <w:tcW w:w="578"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18.5%</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579"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val="en-US" w:bidi="ar"/>
              </w:rPr>
            </w:pPr>
            <w:r>
              <w:rPr>
                <w:rFonts w:hint="eastAsia" w:ascii="宋体" w:hAnsi="宋体" w:eastAsia="宋体" w:cs="宋体"/>
                <w:i w:val="0"/>
                <w:color w:val="000000"/>
                <w:kern w:val="0"/>
                <w:sz w:val="22"/>
                <w:szCs w:val="22"/>
                <w:u w:val="none"/>
                <w:lang w:val="en-US" w:eastAsia="zh-CN" w:bidi="ar"/>
              </w:rPr>
              <w:t>18</w:t>
            </w:r>
          </w:p>
        </w:tc>
        <w:tc>
          <w:tcPr>
            <w:tcW w:w="576" w:type="pct"/>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3</w:t>
            </w:r>
          </w:p>
        </w:tc>
        <w:tc>
          <w:tcPr>
            <w:tcW w:w="7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柳南区</w:t>
            </w:r>
          </w:p>
        </w:tc>
        <w:tc>
          <w:tcPr>
            <w:tcW w:w="517"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w:t>
            </w:r>
          </w:p>
        </w:tc>
        <w:tc>
          <w:tcPr>
            <w:tcW w:w="578"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20.51%</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579"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val="en-US" w:bidi="ar"/>
              </w:rPr>
            </w:pPr>
            <w:r>
              <w:rPr>
                <w:rFonts w:hint="eastAsia" w:ascii="宋体" w:hAnsi="宋体" w:eastAsia="宋体" w:cs="宋体"/>
                <w:i w:val="0"/>
                <w:color w:val="000000"/>
                <w:kern w:val="0"/>
                <w:sz w:val="22"/>
                <w:szCs w:val="22"/>
                <w:u w:val="none"/>
                <w:lang w:val="en-US" w:eastAsia="zh-CN" w:bidi="ar"/>
              </w:rPr>
              <w:t>22</w:t>
            </w:r>
          </w:p>
        </w:tc>
        <w:tc>
          <w:tcPr>
            <w:tcW w:w="576" w:type="pct"/>
            <w:noWrap w:val="0"/>
            <w:tcMar>
              <w:top w:w="15" w:type="dxa"/>
              <w:left w:w="15" w:type="dxa"/>
              <w:right w:w="15" w:type="dxa"/>
            </w:tcMar>
            <w:vAlign w:val="center"/>
          </w:tcPr>
          <w:p>
            <w:pPr>
              <w:keepNext w:val="0"/>
              <w:keepLines w:val="0"/>
              <w:widowControl/>
              <w:suppressLineNumbers w:val="0"/>
              <w:spacing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4</w:t>
            </w:r>
          </w:p>
        </w:tc>
        <w:tc>
          <w:tcPr>
            <w:tcW w:w="724" w:type="pct"/>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鱼峰区</w:t>
            </w:r>
          </w:p>
        </w:tc>
        <w:tc>
          <w:tcPr>
            <w:tcW w:w="517"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9.52%</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579"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val="en-US" w:bidi="ar"/>
              </w:rPr>
            </w:pPr>
            <w:r>
              <w:rPr>
                <w:rFonts w:hint="eastAsia" w:ascii="宋体" w:hAnsi="宋体" w:eastAsia="宋体" w:cs="宋体"/>
                <w:i w:val="0"/>
                <w:color w:val="000000"/>
                <w:kern w:val="0"/>
                <w:sz w:val="22"/>
                <w:szCs w:val="22"/>
                <w:u w:val="none"/>
                <w:lang w:val="en-US" w:eastAsia="zh-CN" w:bidi="ar"/>
              </w:rPr>
              <w:t>14</w:t>
            </w:r>
          </w:p>
        </w:tc>
        <w:tc>
          <w:tcPr>
            <w:tcW w:w="576" w:type="pct"/>
            <w:shd w:val="clear" w:color="auto" w:fill="FFFFFF"/>
            <w:noWrap w:val="0"/>
            <w:tcMar>
              <w:top w:w="15" w:type="dxa"/>
              <w:left w:w="15" w:type="dxa"/>
              <w:right w:w="15" w:type="dxa"/>
            </w:tcMar>
            <w:vAlign w:val="center"/>
          </w:tcPr>
          <w:p>
            <w:pPr>
              <w:keepNext w:val="0"/>
              <w:keepLines w:val="0"/>
              <w:widowControl/>
              <w:suppressLineNumbers w:val="0"/>
              <w:spacing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5</w:t>
            </w:r>
          </w:p>
        </w:tc>
        <w:tc>
          <w:tcPr>
            <w:tcW w:w="724" w:type="pct"/>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柳江区</w:t>
            </w:r>
          </w:p>
        </w:tc>
        <w:tc>
          <w:tcPr>
            <w:tcW w:w="517"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92</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auto"/>
                <w:kern w:val="0"/>
                <w:sz w:val="22"/>
                <w:szCs w:val="22"/>
                <w:highlight w:val="none"/>
                <w:u w:val="none"/>
                <w:lang w:val="en-US" w:eastAsia="zh-CN" w:bidi="ar"/>
              </w:rPr>
              <w:t>5.43%</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55%</w:t>
            </w:r>
          </w:p>
        </w:tc>
        <w:tc>
          <w:tcPr>
            <w:tcW w:w="579"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val="en-US" w:bidi="ar"/>
              </w:rPr>
            </w:pPr>
            <w:r>
              <w:rPr>
                <w:rFonts w:hint="eastAsia" w:ascii="宋体" w:hAnsi="宋体" w:eastAsia="宋体" w:cs="宋体"/>
                <w:i w:val="0"/>
                <w:color w:val="000000"/>
                <w:kern w:val="0"/>
                <w:sz w:val="22"/>
                <w:szCs w:val="22"/>
                <w:highlight w:val="none"/>
                <w:u w:val="none"/>
                <w:lang w:val="en-US" w:eastAsia="zh-CN" w:bidi="ar"/>
              </w:rPr>
              <w:t>46</w:t>
            </w:r>
          </w:p>
        </w:tc>
        <w:tc>
          <w:tcPr>
            <w:tcW w:w="576" w:type="pct"/>
            <w:shd w:val="clear" w:color="auto" w:fill="FFFFFF"/>
            <w:noWrap w:val="0"/>
            <w:tcMar>
              <w:top w:w="15" w:type="dxa"/>
              <w:left w:w="15" w:type="dxa"/>
              <w:right w:w="15" w:type="dxa"/>
            </w:tcMar>
            <w:vAlign w:val="center"/>
          </w:tcPr>
          <w:p>
            <w:pPr>
              <w:keepNext w:val="0"/>
              <w:keepLines w:val="0"/>
              <w:widowControl/>
              <w:suppressLineNumbers w:val="0"/>
              <w:spacing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6</w:t>
            </w:r>
          </w:p>
        </w:tc>
        <w:tc>
          <w:tcPr>
            <w:tcW w:w="724" w:type="pct"/>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柳城县</w:t>
            </w:r>
          </w:p>
        </w:tc>
        <w:tc>
          <w:tcPr>
            <w:tcW w:w="517"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121</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auto"/>
                <w:kern w:val="0"/>
                <w:sz w:val="22"/>
                <w:szCs w:val="22"/>
                <w:u w:val="none"/>
                <w:lang w:val="en-US" w:eastAsia="zh-CN" w:bidi="ar"/>
              </w:rPr>
              <w:t>1.65%</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u w:val="none"/>
                <w:lang w:val="en-US" w:eastAsia="zh-CN" w:bidi="ar"/>
              </w:rPr>
              <w:t>50%</w:t>
            </w:r>
          </w:p>
        </w:tc>
        <w:tc>
          <w:tcPr>
            <w:tcW w:w="579"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59</w:t>
            </w:r>
          </w:p>
        </w:tc>
        <w:tc>
          <w:tcPr>
            <w:tcW w:w="576" w:type="pct"/>
            <w:shd w:val="clear" w:color="auto" w:fill="FFFFFF"/>
            <w:noWrap w:val="0"/>
            <w:tcMar>
              <w:top w:w="15" w:type="dxa"/>
              <w:left w:w="15" w:type="dxa"/>
              <w:right w:w="15" w:type="dxa"/>
            </w:tcMar>
            <w:vAlign w:val="center"/>
          </w:tcPr>
          <w:p>
            <w:pPr>
              <w:keepNext w:val="0"/>
              <w:keepLines w:val="0"/>
              <w:widowControl/>
              <w:suppressLineNumbers w:val="0"/>
              <w:spacing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color w:val="000000"/>
                <w:sz w:val="22"/>
                <w:szCs w:val="22"/>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color w:val="000000"/>
                <w:sz w:val="22"/>
                <w:szCs w:val="22"/>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7</w:t>
            </w:r>
          </w:p>
        </w:tc>
        <w:tc>
          <w:tcPr>
            <w:tcW w:w="724" w:type="pct"/>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鹿寨县</w:t>
            </w:r>
          </w:p>
        </w:tc>
        <w:tc>
          <w:tcPr>
            <w:tcW w:w="517"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auto"/>
                <w:kern w:val="0"/>
                <w:sz w:val="22"/>
                <w:szCs w:val="22"/>
                <w:u w:val="none"/>
                <w:lang w:val="en-US" w:eastAsia="zh-CN" w:bidi="ar"/>
              </w:rPr>
              <w:t>8.18%</w:t>
            </w:r>
          </w:p>
        </w:tc>
        <w:tc>
          <w:tcPr>
            <w:tcW w:w="578"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u w:val="none"/>
                <w:lang w:val="en-US" w:eastAsia="zh-CN" w:bidi="ar"/>
              </w:rPr>
              <w:t>50%</w:t>
            </w:r>
          </w:p>
        </w:tc>
        <w:tc>
          <w:tcPr>
            <w:tcW w:w="579" w:type="pct"/>
            <w:shd w:val="clear" w:color="auto" w:fill="auto"/>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46</w:t>
            </w:r>
          </w:p>
        </w:tc>
        <w:tc>
          <w:tcPr>
            <w:tcW w:w="576" w:type="pct"/>
            <w:shd w:val="clear" w:color="auto" w:fill="FFFFFF"/>
            <w:noWrap w:val="0"/>
            <w:tcMar>
              <w:top w:w="15" w:type="dxa"/>
              <w:left w:w="15" w:type="dxa"/>
              <w:right w:w="15" w:type="dxa"/>
            </w:tcMar>
            <w:vAlign w:val="center"/>
          </w:tcPr>
          <w:p>
            <w:pPr>
              <w:keepNext w:val="0"/>
              <w:keepLines w:val="0"/>
              <w:widowControl/>
              <w:suppressLineNumbers w:val="0"/>
              <w:spacing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8</w:t>
            </w:r>
          </w:p>
        </w:tc>
        <w:tc>
          <w:tcPr>
            <w:tcW w:w="7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融安县</w:t>
            </w:r>
          </w:p>
        </w:tc>
        <w:tc>
          <w:tcPr>
            <w:tcW w:w="517"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137</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578"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auto"/>
                <w:kern w:val="0"/>
                <w:sz w:val="22"/>
                <w:szCs w:val="22"/>
                <w:u w:val="none"/>
                <w:lang w:val="en-US" w:eastAsia="zh-CN" w:bidi="ar"/>
              </w:rPr>
              <w:t>0.73%</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u w:val="none"/>
                <w:lang w:val="en-US" w:eastAsia="zh-CN" w:bidi="ar"/>
              </w:rPr>
              <w:t>23%</w:t>
            </w:r>
          </w:p>
        </w:tc>
        <w:tc>
          <w:tcPr>
            <w:tcW w:w="579"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31</w:t>
            </w:r>
          </w:p>
        </w:tc>
        <w:tc>
          <w:tcPr>
            <w:tcW w:w="576" w:type="pct"/>
            <w:noWrap w:val="0"/>
            <w:tcMar>
              <w:top w:w="15" w:type="dxa"/>
              <w:left w:w="15" w:type="dxa"/>
              <w:right w:w="15" w:type="dxa"/>
            </w:tcMar>
            <w:vAlign w:val="center"/>
          </w:tcPr>
          <w:p>
            <w:pPr>
              <w:keepNext w:val="0"/>
              <w:keepLines w:val="0"/>
              <w:widowControl/>
              <w:suppressLineNumbers w:val="0"/>
              <w:spacing w:line="240" w:lineRule="auto"/>
              <w:ind w:firstLine="440" w:firstLineChars="200"/>
              <w:jc w:val="left"/>
              <w:textAlignment w:val="center"/>
              <w:outlineLvl w:val="9"/>
              <w:rPr>
                <w:rFonts w:hint="eastAsia" w:ascii="宋体" w:hAnsi="宋体" w:eastAsia="宋体" w:cs="宋体"/>
                <w:color w:val="00000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9</w:t>
            </w:r>
          </w:p>
        </w:tc>
        <w:tc>
          <w:tcPr>
            <w:tcW w:w="7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融水苗族自治县</w:t>
            </w:r>
          </w:p>
        </w:tc>
        <w:tc>
          <w:tcPr>
            <w:tcW w:w="517"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198</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u w:val="none"/>
                <w:lang w:val="en-US" w:eastAsia="zh-CN" w:bidi="ar"/>
              </w:rPr>
              <w:t>0</w:t>
            </w:r>
          </w:p>
        </w:tc>
        <w:tc>
          <w:tcPr>
            <w:tcW w:w="578"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0.00%</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u w:val="none"/>
                <w:lang w:val="en-US" w:eastAsia="zh-CN" w:bidi="ar"/>
              </w:rPr>
              <w:t>18%</w:t>
            </w:r>
          </w:p>
        </w:tc>
        <w:tc>
          <w:tcPr>
            <w:tcW w:w="579"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val="en-US" w:bidi="ar"/>
              </w:rPr>
            </w:pPr>
            <w:r>
              <w:rPr>
                <w:rFonts w:hint="eastAsia" w:ascii="宋体" w:hAnsi="宋体" w:eastAsia="宋体" w:cs="宋体"/>
                <w:i w:val="0"/>
                <w:color w:val="000000"/>
                <w:kern w:val="0"/>
                <w:sz w:val="22"/>
                <w:szCs w:val="22"/>
                <w:u w:val="none"/>
                <w:lang w:val="en-US" w:eastAsia="zh-CN" w:bidi="ar"/>
              </w:rPr>
              <w:t>36</w:t>
            </w:r>
          </w:p>
        </w:tc>
        <w:tc>
          <w:tcPr>
            <w:tcW w:w="576" w:type="pct"/>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10</w:t>
            </w:r>
          </w:p>
        </w:tc>
        <w:tc>
          <w:tcPr>
            <w:tcW w:w="7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三江侗族自治县</w:t>
            </w:r>
          </w:p>
        </w:tc>
        <w:tc>
          <w:tcPr>
            <w:tcW w:w="517"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w:t>
            </w:r>
          </w:p>
        </w:tc>
        <w:tc>
          <w:tcPr>
            <w:tcW w:w="578"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5.63%</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579"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val="en-US" w:bidi="ar"/>
              </w:rPr>
            </w:pPr>
            <w:r>
              <w:rPr>
                <w:rFonts w:hint="eastAsia" w:ascii="宋体" w:hAnsi="宋体" w:eastAsia="宋体" w:cs="宋体"/>
                <w:i w:val="0"/>
                <w:color w:val="000000"/>
                <w:kern w:val="0"/>
                <w:sz w:val="22"/>
                <w:szCs w:val="22"/>
                <w:u w:val="none"/>
                <w:lang w:val="en-US" w:eastAsia="zh-CN" w:bidi="ar"/>
              </w:rPr>
              <w:t>23</w:t>
            </w:r>
          </w:p>
        </w:tc>
        <w:tc>
          <w:tcPr>
            <w:tcW w:w="576" w:type="pct"/>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11</w:t>
            </w:r>
          </w:p>
        </w:tc>
        <w:tc>
          <w:tcPr>
            <w:tcW w:w="7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柳东新区</w:t>
            </w:r>
          </w:p>
        </w:tc>
        <w:tc>
          <w:tcPr>
            <w:tcW w:w="517"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578"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13.33%</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579"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val="en-US" w:bidi="ar"/>
              </w:rPr>
            </w:pPr>
            <w:r>
              <w:rPr>
                <w:rFonts w:hint="eastAsia" w:ascii="宋体" w:hAnsi="宋体" w:eastAsia="宋体" w:cs="宋体"/>
                <w:i w:val="0"/>
                <w:color w:val="000000"/>
                <w:kern w:val="0"/>
                <w:sz w:val="22"/>
                <w:szCs w:val="22"/>
                <w:u w:val="none"/>
                <w:lang w:val="en-US" w:eastAsia="zh-CN" w:bidi="ar"/>
              </w:rPr>
              <w:t>11</w:t>
            </w:r>
          </w:p>
        </w:tc>
        <w:tc>
          <w:tcPr>
            <w:tcW w:w="576" w:type="pct"/>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color w:val="auto"/>
                <w:sz w:val="24"/>
                <w:szCs w:val="24"/>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color w:val="auto"/>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292"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12</w:t>
            </w:r>
          </w:p>
        </w:tc>
        <w:tc>
          <w:tcPr>
            <w:tcW w:w="72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北部生态新区</w:t>
            </w:r>
          </w:p>
        </w:tc>
        <w:tc>
          <w:tcPr>
            <w:tcW w:w="517"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578"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0.00%</w:t>
            </w:r>
          </w:p>
        </w:tc>
        <w:tc>
          <w:tcPr>
            <w:tcW w:w="578"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579" w:type="pct"/>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仿宋" w:cs="Times New Roman"/>
                <w:i w:val="0"/>
                <w:color w:val="auto"/>
                <w:sz w:val="24"/>
                <w:szCs w:val="24"/>
                <w:highlight w:val="none"/>
                <w:u w:val="none"/>
                <w:lang w:val="en-US" w:bidi="ar"/>
              </w:rPr>
            </w:pPr>
            <w:r>
              <w:rPr>
                <w:rFonts w:hint="eastAsia" w:ascii="宋体" w:hAnsi="宋体" w:eastAsia="宋体" w:cs="宋体"/>
                <w:i w:val="0"/>
                <w:color w:val="000000"/>
                <w:kern w:val="0"/>
                <w:sz w:val="22"/>
                <w:szCs w:val="22"/>
                <w:u w:val="none"/>
                <w:lang w:val="en-US" w:eastAsia="zh-CN" w:bidi="ar"/>
              </w:rPr>
              <w:t>10</w:t>
            </w:r>
          </w:p>
        </w:tc>
        <w:tc>
          <w:tcPr>
            <w:tcW w:w="576" w:type="pct"/>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576" w:type="pct"/>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017" w:type="pct"/>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全</w:t>
            </w:r>
            <w:r>
              <w:rPr>
                <w:rFonts w:hint="eastAsia" w:cs="Times New Roman"/>
                <w:i w:val="0"/>
                <w:color w:val="auto"/>
                <w:kern w:val="0"/>
                <w:sz w:val="24"/>
                <w:szCs w:val="24"/>
                <w:highlight w:val="none"/>
                <w:u w:val="none"/>
                <w:lang w:val="en-US" w:eastAsia="zh-CN" w:bidi="ar"/>
              </w:rPr>
              <w:t>市</w:t>
            </w:r>
          </w:p>
        </w:tc>
        <w:tc>
          <w:tcPr>
            <w:tcW w:w="51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宋体" w:cs="Times New Roman"/>
                <w:i w:val="0"/>
                <w:color w:val="auto"/>
                <w:kern w:val="0"/>
                <w:sz w:val="24"/>
                <w:szCs w:val="24"/>
                <w:highlight w:val="none"/>
                <w:u w:val="none"/>
                <w:lang w:val="en-US" w:eastAsia="zh-CN" w:bidi="ar"/>
              </w:rPr>
            </w:pPr>
            <w:r>
              <w:rPr>
                <w:rFonts w:hint="eastAsia" w:eastAsia="宋体" w:cs="Times New Roman"/>
                <w:color w:val="auto"/>
                <w:sz w:val="24"/>
                <w:szCs w:val="24"/>
                <w:highlight w:val="none"/>
                <w:u w:val="none"/>
                <w:lang w:val="en-US" w:eastAsia="zh-CN" w:bidi="ar"/>
              </w:rPr>
              <w:t>937</w:t>
            </w:r>
          </w:p>
        </w:tc>
        <w:tc>
          <w:tcPr>
            <w:tcW w:w="57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宋体" w:cs="Times New Roman"/>
                <w:i w:val="0"/>
                <w:color w:val="auto"/>
                <w:kern w:val="0"/>
                <w:sz w:val="24"/>
                <w:szCs w:val="24"/>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47</w:t>
            </w:r>
          </w:p>
        </w:tc>
        <w:tc>
          <w:tcPr>
            <w:tcW w:w="578" w:type="pct"/>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等线" w:cs="Times New Roman"/>
                <w:i w:val="0"/>
                <w:color w:val="auto"/>
                <w:sz w:val="24"/>
                <w:szCs w:val="24"/>
                <w:highlight w:val="none"/>
                <w:u w:val="none"/>
                <w:lang w:bidi="ar"/>
              </w:rPr>
            </w:pPr>
            <w:r>
              <w:rPr>
                <w:rFonts w:hint="eastAsia" w:ascii="宋体" w:hAnsi="宋体" w:eastAsia="宋体" w:cs="宋体"/>
                <w:i w:val="0"/>
                <w:color w:val="000000"/>
                <w:kern w:val="0"/>
                <w:sz w:val="22"/>
                <w:szCs w:val="22"/>
                <w:u w:val="none"/>
                <w:lang w:val="en-US" w:eastAsia="zh-CN" w:bidi="ar"/>
              </w:rPr>
              <w:t>5.02%</w:t>
            </w:r>
          </w:p>
        </w:tc>
        <w:tc>
          <w:tcPr>
            <w:tcW w:w="578" w:type="pct"/>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≧38.9%</w:t>
            </w:r>
          </w:p>
        </w:tc>
        <w:tc>
          <w:tcPr>
            <w:tcW w:w="5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sz w:val="24"/>
                <w:szCs w:val="24"/>
                <w:highlight w:val="none"/>
                <w:u w:val="none"/>
                <w:lang w:val="en-US" w:eastAsia="zh-CN" w:bidi="ar"/>
              </w:rPr>
              <w:t>318</w:t>
            </w:r>
          </w:p>
        </w:tc>
        <w:tc>
          <w:tcPr>
            <w:tcW w:w="576" w:type="pct"/>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9</w:t>
            </w:r>
          </w:p>
        </w:tc>
        <w:tc>
          <w:tcPr>
            <w:tcW w:w="5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r>
    </w:tbl>
    <w:p>
      <w:pPr>
        <w:keepNext w:val="0"/>
        <w:keepLines w:val="0"/>
        <w:pageBreakBefore w:val="0"/>
        <w:widowControl w:val="0"/>
        <w:kinsoku/>
        <w:wordWrap/>
        <w:overflowPunct/>
        <w:topLinePunct w:val="0"/>
        <w:autoSpaceDE w:val="0"/>
        <w:autoSpaceDN w:val="0"/>
        <w:bidi w:val="0"/>
        <w:adjustRightInd w:val="0"/>
        <w:snapToGrid w:val="0"/>
        <w:spacing w:before="192" w:beforeLines="80" w:line="260" w:lineRule="exact"/>
        <w:ind w:left="0" w:leftChars="0" w:firstLine="0" w:firstLineChars="0"/>
        <w:textAlignment w:val="auto"/>
        <w:outlineLvl w:val="9"/>
        <w:rPr>
          <w:rFonts w:hint="eastAsia" w:cs="Times New Roman"/>
          <w:bCs/>
          <w:color w:val="auto"/>
          <w:sz w:val="24"/>
          <w:szCs w:val="24"/>
          <w:highlight w:val="none"/>
          <w:u w:val="none"/>
          <w:lang w:val="en-US" w:eastAsia="zh-CN"/>
        </w:rPr>
      </w:pPr>
      <w:r>
        <w:rPr>
          <w:rFonts w:hint="default" w:ascii="Times New Roman" w:hAnsi="Times New Roman" w:cs="Times New Roman"/>
          <w:bCs/>
          <w:color w:val="auto"/>
          <w:sz w:val="24"/>
          <w:szCs w:val="24"/>
          <w:highlight w:val="none"/>
          <w:u w:val="none"/>
          <w:lang w:val="en-US" w:eastAsia="zh-CN"/>
        </w:rPr>
        <w:t>注：</w:t>
      </w:r>
      <w:r>
        <w:rPr>
          <w:rFonts w:hint="eastAsia" w:cs="Times New Roman"/>
          <w:b/>
          <w:bCs/>
          <w:i w:val="0"/>
          <w:color w:val="auto"/>
          <w:kern w:val="0"/>
          <w:sz w:val="24"/>
          <w:szCs w:val="24"/>
          <w:highlight w:val="none"/>
          <w:u w:val="none"/>
          <w:lang w:val="en-US" w:eastAsia="zh-CN" w:bidi="ar"/>
        </w:rPr>
        <w:t>*</w:t>
      </w:r>
      <w:r>
        <w:rPr>
          <w:rFonts w:hint="default" w:ascii="Times New Roman" w:hAnsi="Times New Roman" w:cs="Times New Roman"/>
          <w:bCs/>
          <w:color w:val="auto"/>
          <w:sz w:val="24"/>
          <w:szCs w:val="24"/>
          <w:highlight w:val="none"/>
          <w:u w:val="none"/>
          <w:lang w:eastAsia="zh-CN"/>
        </w:rPr>
        <w:t>源于202</w:t>
      </w:r>
      <w:r>
        <w:rPr>
          <w:rFonts w:hint="eastAsia" w:cs="Times New Roman"/>
          <w:bCs/>
          <w:color w:val="auto"/>
          <w:sz w:val="24"/>
          <w:szCs w:val="24"/>
          <w:highlight w:val="none"/>
          <w:u w:val="none"/>
          <w:lang w:val="en-US" w:eastAsia="zh-CN"/>
        </w:rPr>
        <w:t>1</w:t>
      </w:r>
      <w:r>
        <w:rPr>
          <w:rFonts w:hint="default" w:ascii="Times New Roman" w:hAnsi="Times New Roman" w:cs="Times New Roman"/>
          <w:bCs/>
          <w:color w:val="auto"/>
          <w:sz w:val="24"/>
          <w:szCs w:val="24"/>
          <w:highlight w:val="none"/>
          <w:u w:val="none"/>
          <w:lang w:eastAsia="zh-CN"/>
        </w:rPr>
        <w:t>年</w:t>
      </w:r>
      <w:r>
        <w:rPr>
          <w:rFonts w:hint="eastAsia" w:cs="Times New Roman"/>
          <w:bCs/>
          <w:color w:val="auto"/>
          <w:sz w:val="24"/>
          <w:szCs w:val="24"/>
          <w:highlight w:val="none"/>
          <w:u w:val="none"/>
          <w:lang w:val="en-US" w:eastAsia="zh-CN"/>
        </w:rPr>
        <w:t>12</w:t>
      </w:r>
      <w:r>
        <w:rPr>
          <w:rFonts w:hint="eastAsia" w:ascii="Times New Roman" w:hAnsi="Times New Roman" w:cs="Times New Roman"/>
          <w:bCs/>
          <w:color w:val="auto"/>
          <w:sz w:val="24"/>
          <w:szCs w:val="24"/>
          <w:highlight w:val="none"/>
          <w:u w:val="none"/>
          <w:lang w:eastAsia="zh-CN"/>
        </w:rPr>
        <w:t>月各</w:t>
      </w:r>
      <w:r>
        <w:rPr>
          <w:rFonts w:hint="eastAsia" w:cs="Times New Roman"/>
          <w:bCs/>
          <w:color w:val="auto"/>
          <w:sz w:val="24"/>
          <w:szCs w:val="24"/>
          <w:highlight w:val="none"/>
          <w:u w:val="none"/>
          <w:lang w:eastAsia="zh-CN"/>
        </w:rPr>
        <w:t>县区在农业农村生态环境监管信息系统</w:t>
      </w:r>
      <w:r>
        <w:rPr>
          <w:rFonts w:hint="eastAsia" w:ascii="Times New Roman" w:hAnsi="Times New Roman" w:cs="Times New Roman"/>
          <w:bCs/>
          <w:color w:val="auto"/>
          <w:sz w:val="24"/>
          <w:szCs w:val="24"/>
          <w:highlight w:val="none"/>
          <w:u w:val="none"/>
          <w:lang w:eastAsia="zh-CN"/>
        </w:rPr>
        <w:t>填报</w:t>
      </w:r>
      <w:r>
        <w:rPr>
          <w:rFonts w:hint="eastAsia" w:cs="Times New Roman"/>
          <w:bCs/>
          <w:color w:val="auto"/>
          <w:sz w:val="24"/>
          <w:szCs w:val="24"/>
          <w:highlight w:val="none"/>
          <w:u w:val="none"/>
          <w:lang w:eastAsia="zh-CN"/>
        </w:rPr>
        <w:t>数据，</w:t>
      </w:r>
      <w:r>
        <w:rPr>
          <w:rFonts w:hint="default" w:ascii="Times New Roman" w:hAnsi="Times New Roman" w:cs="Times New Roman"/>
          <w:bCs/>
          <w:color w:val="auto"/>
          <w:sz w:val="24"/>
          <w:szCs w:val="24"/>
          <w:highlight w:val="none"/>
          <w:u w:val="none"/>
          <w:lang w:val="en-US" w:eastAsia="zh-CN"/>
        </w:rPr>
        <w:t>已完成阶段性治理的行政村数量指自然村（组）覆</w:t>
      </w:r>
      <w:r>
        <w:rPr>
          <w:rFonts w:hint="default" w:ascii="Times New Roman" w:hAnsi="Times New Roman" w:eastAsia="仿宋" w:cs="Times New Roman"/>
          <w:bCs/>
          <w:color w:val="auto"/>
          <w:sz w:val="24"/>
          <w:szCs w:val="24"/>
          <w:highlight w:val="none"/>
          <w:u w:val="none"/>
        </w:rPr>
        <w:t>盖率达到60%的行政村数量</w:t>
      </w:r>
      <w:r>
        <w:rPr>
          <w:rFonts w:hint="eastAsia" w:cs="Times New Roman"/>
          <w:bCs/>
          <w:color w:val="auto"/>
          <w:sz w:val="24"/>
          <w:szCs w:val="24"/>
          <w:highlight w:val="none"/>
          <w:u w:val="none"/>
          <w:lang w:eastAsia="zh-CN"/>
        </w:rPr>
        <w:t>，即每个行政村60%以上自然村屯生活污水完成治理，自然村屯60%以上农户的生活污水得到处理或资源化利用</w:t>
      </w:r>
      <w:r>
        <w:rPr>
          <w:rFonts w:hint="eastAsia" w:cs="Times New Roman"/>
          <w:bCs/>
          <w:color w:val="auto"/>
          <w:sz w:val="24"/>
          <w:szCs w:val="24"/>
          <w:highlight w:val="none"/>
          <w:u w:val="none"/>
          <w:lang w:val="en-US" w:eastAsia="zh-CN"/>
        </w:rPr>
        <w:t>；柳北区、鱼峰区、柳城县、融水县、鹿寨县、柳东新区等相关县区报送的按改厕完成资源化利用的行政村暂未纳入已完成</w:t>
      </w:r>
      <w:r>
        <w:rPr>
          <w:rFonts w:hint="eastAsia" w:ascii="Times New Roman" w:hAnsi="Times New Roman" w:cs="Times New Roman"/>
          <w:b w:val="0"/>
          <w:bCs/>
          <w:i w:val="0"/>
          <w:color w:val="auto"/>
          <w:kern w:val="0"/>
          <w:sz w:val="24"/>
          <w:szCs w:val="24"/>
          <w:highlight w:val="none"/>
          <w:u w:val="none"/>
          <w:lang w:val="en-US" w:eastAsia="zh-CN" w:bidi="ar"/>
        </w:rPr>
        <w:t>阶段性治理</w:t>
      </w:r>
      <w:r>
        <w:rPr>
          <w:rFonts w:hint="default" w:cs="Times New Roman"/>
          <w:b w:val="0"/>
          <w:bCs/>
          <w:i w:val="0"/>
          <w:color w:val="auto"/>
          <w:kern w:val="0"/>
          <w:sz w:val="24"/>
          <w:szCs w:val="24"/>
          <w:highlight w:val="none"/>
          <w:u w:val="none"/>
          <w:lang w:val="en-US" w:eastAsia="zh-CN" w:bidi="ar"/>
        </w:rPr>
        <w:t>行政村</w:t>
      </w:r>
      <w:r>
        <w:rPr>
          <w:rFonts w:hint="eastAsia" w:cs="Times New Roman"/>
          <w:b w:val="0"/>
          <w:bCs/>
          <w:i w:val="0"/>
          <w:color w:val="auto"/>
          <w:kern w:val="0"/>
          <w:sz w:val="24"/>
          <w:szCs w:val="24"/>
          <w:highlight w:val="none"/>
          <w:u w:val="none"/>
          <w:lang w:val="en-US" w:eastAsia="zh-CN" w:bidi="ar"/>
        </w:rPr>
        <w:t>统计</w:t>
      </w:r>
      <w:r>
        <w:rPr>
          <w:rFonts w:hint="default" w:cs="Times New Roman"/>
          <w:b w:val="0"/>
          <w:bCs/>
          <w:i w:val="0"/>
          <w:color w:val="auto"/>
          <w:kern w:val="0"/>
          <w:sz w:val="24"/>
          <w:szCs w:val="24"/>
          <w:highlight w:val="none"/>
          <w:u w:val="none"/>
          <w:lang w:val="en-US" w:eastAsia="zh-CN" w:bidi="ar"/>
        </w:rPr>
        <w:t>，需</w:t>
      </w:r>
      <w:r>
        <w:rPr>
          <w:rFonts w:hint="eastAsia" w:cs="Times New Roman"/>
          <w:bCs/>
          <w:color w:val="auto"/>
          <w:sz w:val="24"/>
          <w:szCs w:val="24"/>
          <w:highlight w:val="none"/>
          <w:u w:val="none"/>
          <w:lang w:val="en-US" w:eastAsia="zh-CN"/>
        </w:rPr>
        <w:t>按自治区2022年资源化利用要求进一步完善。</w:t>
      </w:r>
    </w:p>
    <w:p>
      <w:pPr>
        <w:keepNext w:val="0"/>
        <w:keepLines w:val="0"/>
        <w:pageBreakBefore w:val="0"/>
        <w:widowControl w:val="0"/>
        <w:kinsoku/>
        <w:wordWrap/>
        <w:overflowPunct/>
        <w:topLinePunct w:val="0"/>
        <w:autoSpaceDE w:val="0"/>
        <w:autoSpaceDN w:val="0"/>
        <w:bidi w:val="0"/>
        <w:adjustRightInd w:val="0"/>
        <w:snapToGrid w:val="0"/>
        <w:spacing w:before="192" w:beforeLines="80" w:line="260" w:lineRule="exact"/>
        <w:ind w:left="0" w:leftChars="0" w:firstLine="0" w:firstLineChars="0"/>
        <w:textAlignment w:val="auto"/>
        <w:outlineLvl w:val="9"/>
        <w:rPr>
          <w:rFonts w:hint="eastAsia" w:cs="Times New Roman"/>
          <w:bCs/>
          <w:color w:val="auto"/>
          <w:sz w:val="24"/>
          <w:szCs w:val="24"/>
          <w:highlight w:val="none"/>
          <w:u w:val="single"/>
          <w:lang w:val="en-US" w:eastAsia="zh-CN"/>
        </w:rPr>
      </w:pPr>
    </w:p>
    <w:p>
      <w:pPr>
        <w:adjustRightInd w:val="0"/>
        <w:snapToGrid w:val="0"/>
        <w:spacing w:before="192" w:beforeLines="80" w:line="260" w:lineRule="exact"/>
        <w:ind w:left="0" w:leftChars="0" w:firstLine="0" w:firstLineChars="0"/>
        <w:jc w:val="center"/>
        <w:rPr>
          <w:rFonts w:hint="default" w:ascii="Times New Roman" w:hAnsi="Times New Roman" w:cs="Times New Roman"/>
          <w:color w:val="auto"/>
          <w:highlight w:val="none"/>
          <w:lang w:val="en-US" w:eastAsia="zh-CN"/>
        </w:rPr>
      </w:pPr>
      <w:bookmarkStart w:id="135" w:name="_Toc4643"/>
      <w:r>
        <w:rPr>
          <w:rFonts w:hint="default" w:ascii="Times New Roman" w:hAnsi="Times New Roman" w:cs="Times New Roman"/>
          <w:b/>
          <w:bCs/>
          <w:color w:val="auto"/>
          <w:highlight w:val="none"/>
          <w:lang w:val="en-US" w:eastAsia="zh-CN"/>
        </w:rPr>
        <w:t>表2</w:t>
      </w:r>
      <w:r>
        <w:rPr>
          <w:rFonts w:hint="eastAsia" w:cs="Times New Roman"/>
          <w:b/>
          <w:bCs/>
          <w:color w:val="auto"/>
          <w:highlight w:val="none"/>
          <w:lang w:val="en-US" w:eastAsia="zh-CN"/>
        </w:rPr>
        <w:t xml:space="preserve"> 柳州市</w:t>
      </w:r>
      <w:r>
        <w:rPr>
          <w:rFonts w:hint="default" w:ascii="Times New Roman" w:hAnsi="Times New Roman" w:cs="Times New Roman"/>
          <w:b/>
          <w:bCs/>
          <w:color w:val="auto"/>
          <w:highlight w:val="none"/>
          <w:lang w:val="en-US" w:eastAsia="zh-CN"/>
        </w:rPr>
        <w:t>农村生活污水治理行政村覆盖目标</w:t>
      </w:r>
      <w:r>
        <w:rPr>
          <w:rFonts w:hint="eastAsia" w:cs="Times New Roman"/>
          <w:b/>
          <w:bCs/>
          <w:color w:val="auto"/>
          <w:highlight w:val="none"/>
          <w:lang w:eastAsia="zh-CN"/>
        </w:rPr>
        <w:t>（</w:t>
      </w:r>
      <w:r>
        <w:rPr>
          <w:rFonts w:hint="eastAsia" w:cs="Times New Roman"/>
          <w:b/>
          <w:bCs/>
          <w:color w:val="auto"/>
          <w:highlight w:val="none"/>
          <w:lang w:val="en-US" w:eastAsia="zh-CN"/>
        </w:rPr>
        <w:t>2022-2025年</w:t>
      </w:r>
      <w:r>
        <w:rPr>
          <w:rFonts w:hint="eastAsia" w:cs="Times New Roman"/>
          <w:b/>
          <w:bCs/>
          <w:color w:val="auto"/>
          <w:highlight w:val="none"/>
          <w:lang w:eastAsia="zh-CN"/>
        </w:rPr>
        <w:t>）</w:t>
      </w:r>
      <w:bookmarkEnd w:id="126"/>
      <w:bookmarkEnd w:id="127"/>
      <w:bookmarkEnd w:id="128"/>
      <w:bookmarkEnd w:id="129"/>
      <w:bookmarkEnd w:id="130"/>
      <w:bookmarkEnd w:id="131"/>
      <w:bookmarkEnd w:id="132"/>
      <w:bookmarkEnd w:id="133"/>
      <w:bookmarkEnd w:id="134"/>
      <w:bookmarkEnd w:id="135"/>
    </w:p>
    <w:tbl>
      <w:tblPr>
        <w:tblStyle w:val="16"/>
        <w:tblW w:w="97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46"/>
        <w:gridCol w:w="1018"/>
        <w:gridCol w:w="1152"/>
        <w:gridCol w:w="1005"/>
        <w:gridCol w:w="1152"/>
        <w:gridCol w:w="1188"/>
        <w:gridCol w:w="1225"/>
        <w:gridCol w:w="1158"/>
        <w:gridCol w:w="1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eastAsia="仿宋" w:cs="Times New Roman"/>
                <w:b/>
                <w:bCs w:val="0"/>
                <w:i w:val="0"/>
                <w:color w:val="auto"/>
                <w:kern w:val="0"/>
                <w:sz w:val="24"/>
                <w:szCs w:val="24"/>
                <w:highlight w:val="none"/>
                <w:u w:val="none"/>
                <w:lang w:val="en-US" w:eastAsia="zh-CN" w:bidi="ar"/>
              </w:rPr>
              <w:t>序号</w:t>
            </w:r>
          </w:p>
        </w:tc>
        <w:tc>
          <w:tcPr>
            <w:tcW w:w="1018"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cs="Times New Roman"/>
                <w:b/>
                <w:bCs w:val="0"/>
                <w:i w:val="0"/>
                <w:color w:val="auto"/>
                <w:kern w:val="0"/>
                <w:sz w:val="24"/>
                <w:szCs w:val="24"/>
                <w:highlight w:val="none"/>
                <w:u w:val="none"/>
                <w:lang w:val="en-US" w:eastAsia="zh-CN" w:bidi="ar"/>
              </w:rPr>
              <w:t>县区、新区</w:t>
            </w:r>
          </w:p>
        </w:tc>
        <w:tc>
          <w:tcPr>
            <w:tcW w:w="1152"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eastAsia="仿宋" w:cs="Times New Roman"/>
                <w:b/>
                <w:bCs w:val="0"/>
                <w:i w:val="0"/>
                <w:color w:val="auto"/>
                <w:kern w:val="0"/>
                <w:sz w:val="24"/>
                <w:szCs w:val="24"/>
                <w:highlight w:val="none"/>
                <w:u w:val="none"/>
                <w:lang w:val="en-US" w:eastAsia="zh-CN" w:bidi="ar"/>
              </w:rPr>
              <w:t>现有行政村总数（个）</w:t>
            </w:r>
          </w:p>
        </w:tc>
        <w:tc>
          <w:tcPr>
            <w:tcW w:w="100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cs="Times New Roman"/>
                <w:b/>
                <w:bCs/>
                <w:i w:val="0"/>
                <w:color w:val="auto"/>
                <w:kern w:val="0"/>
                <w:sz w:val="24"/>
                <w:szCs w:val="24"/>
                <w:highlight w:val="none"/>
                <w:u w:val="none"/>
                <w:lang w:val="en-US" w:eastAsia="zh-CN" w:bidi="ar"/>
              </w:rPr>
              <w:t>已完成阶段性治理的行政村数量</w:t>
            </w:r>
            <w:r>
              <w:rPr>
                <w:rFonts w:hint="default" w:ascii="Times New Roman" w:hAnsi="Times New Roman" w:eastAsia="仿宋" w:cs="Times New Roman"/>
                <w:b/>
                <w:bCs w:val="0"/>
                <w:i w:val="0"/>
                <w:color w:val="auto"/>
                <w:kern w:val="0"/>
                <w:sz w:val="24"/>
                <w:szCs w:val="24"/>
                <w:highlight w:val="none"/>
                <w:u w:val="none"/>
                <w:lang w:val="en-US" w:eastAsia="zh-CN" w:bidi="ar"/>
              </w:rPr>
              <w:t>（个）</w:t>
            </w:r>
            <w:r>
              <w:rPr>
                <w:rFonts w:hint="eastAsia" w:cs="Times New Roman"/>
                <w:b/>
                <w:bCs/>
                <w:i w:val="0"/>
                <w:color w:val="auto"/>
                <w:kern w:val="0"/>
                <w:sz w:val="24"/>
                <w:szCs w:val="24"/>
                <w:highlight w:val="none"/>
                <w:u w:val="none"/>
                <w:lang w:val="en-US" w:eastAsia="zh-CN" w:bidi="ar"/>
              </w:rPr>
              <w:t>*</w:t>
            </w:r>
          </w:p>
        </w:tc>
        <w:tc>
          <w:tcPr>
            <w:tcW w:w="4723" w:type="dxa"/>
            <w:gridSpan w:val="4"/>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eastAsia="仿宋" w:cs="Times New Roman"/>
                <w:b/>
                <w:bCs w:val="0"/>
                <w:i w:val="0"/>
                <w:color w:val="auto"/>
                <w:kern w:val="0"/>
                <w:sz w:val="24"/>
                <w:szCs w:val="24"/>
                <w:highlight w:val="none"/>
                <w:u w:val="none"/>
                <w:lang w:val="en-US" w:eastAsia="zh-CN" w:bidi="ar"/>
              </w:rPr>
              <w:t>年度新增治理的行政村数（个）</w:t>
            </w:r>
          </w:p>
        </w:tc>
        <w:tc>
          <w:tcPr>
            <w:tcW w:w="115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eastAsia="仿宋" w:cs="Times New Roman"/>
                <w:b/>
                <w:bCs w:val="0"/>
                <w:i w:val="0"/>
                <w:color w:val="auto"/>
                <w:kern w:val="0"/>
                <w:sz w:val="24"/>
                <w:szCs w:val="24"/>
                <w:highlight w:val="none"/>
                <w:u w:val="none"/>
                <w:lang w:val="en-US" w:eastAsia="zh-CN" w:bidi="ar"/>
              </w:rPr>
              <w:t>累计新增治理的行政村数（个）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67" w:hRule="atLeast"/>
        </w:trPr>
        <w:tc>
          <w:tcPr>
            <w:tcW w:w="646"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400" w:lineRule="exact"/>
              <w:jc w:val="center"/>
              <w:outlineLvl w:val="9"/>
              <w:rPr>
                <w:rFonts w:hint="default" w:ascii="Times New Roman" w:hAnsi="Times New Roman" w:eastAsia="仿宋" w:cs="Times New Roman"/>
                <w:b/>
                <w:bCs w:val="0"/>
                <w:i w:val="0"/>
                <w:color w:val="auto"/>
                <w:sz w:val="24"/>
                <w:szCs w:val="24"/>
                <w:highlight w:val="none"/>
                <w:u w:val="none"/>
              </w:rPr>
            </w:pPr>
          </w:p>
        </w:tc>
        <w:tc>
          <w:tcPr>
            <w:tcW w:w="1018"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400" w:lineRule="exact"/>
              <w:jc w:val="center"/>
              <w:outlineLvl w:val="9"/>
              <w:rPr>
                <w:rFonts w:hint="default" w:ascii="Times New Roman" w:hAnsi="Times New Roman" w:eastAsia="仿宋" w:cs="Times New Roman"/>
                <w:b/>
                <w:bCs w:val="0"/>
                <w:i w:val="0"/>
                <w:color w:val="auto"/>
                <w:sz w:val="24"/>
                <w:szCs w:val="24"/>
                <w:highlight w:val="none"/>
                <w:u w:val="none"/>
              </w:rPr>
            </w:pPr>
          </w:p>
        </w:tc>
        <w:tc>
          <w:tcPr>
            <w:tcW w:w="1152"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400" w:lineRule="exact"/>
              <w:jc w:val="center"/>
              <w:outlineLvl w:val="9"/>
              <w:rPr>
                <w:rFonts w:hint="default" w:ascii="Times New Roman" w:hAnsi="Times New Roman" w:eastAsia="仿宋" w:cs="Times New Roman"/>
                <w:b/>
                <w:bCs w:val="0"/>
                <w:i w:val="0"/>
                <w:color w:val="auto"/>
                <w:sz w:val="24"/>
                <w:szCs w:val="24"/>
                <w:highlight w:val="none"/>
                <w:u w:val="none"/>
              </w:rPr>
            </w:pPr>
          </w:p>
        </w:tc>
        <w:tc>
          <w:tcPr>
            <w:tcW w:w="1005"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400" w:lineRule="exact"/>
              <w:jc w:val="center"/>
              <w:outlineLvl w:val="9"/>
              <w:rPr>
                <w:rFonts w:hint="default" w:ascii="Times New Roman" w:hAnsi="Times New Roman" w:eastAsia="仿宋" w:cs="Times New Roman"/>
                <w:b/>
                <w:bCs w:val="0"/>
                <w:i w:val="0"/>
                <w:color w:val="auto"/>
                <w:sz w:val="24"/>
                <w:szCs w:val="24"/>
                <w:highlight w:val="none"/>
                <w:u w:val="none"/>
              </w:rPr>
            </w:pP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eastAsia="仿宋" w:cs="Times New Roman"/>
                <w:b/>
                <w:bCs w:val="0"/>
                <w:i w:val="0"/>
                <w:color w:val="auto"/>
                <w:kern w:val="0"/>
                <w:sz w:val="24"/>
                <w:szCs w:val="24"/>
                <w:highlight w:val="none"/>
                <w:u w:val="none"/>
                <w:lang w:val="en-US" w:eastAsia="zh-CN" w:bidi="ar"/>
              </w:rPr>
              <w:t>2022年</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eastAsia="仿宋" w:cs="Times New Roman"/>
                <w:b/>
                <w:bCs w:val="0"/>
                <w:i w:val="0"/>
                <w:color w:val="auto"/>
                <w:kern w:val="0"/>
                <w:sz w:val="24"/>
                <w:szCs w:val="24"/>
                <w:highlight w:val="none"/>
                <w:u w:val="none"/>
                <w:lang w:val="en-US" w:eastAsia="zh-CN" w:bidi="ar"/>
              </w:rPr>
              <w:t>2023年</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eastAsia="仿宋" w:cs="Times New Roman"/>
                <w:b/>
                <w:bCs w:val="0"/>
                <w:i w:val="0"/>
                <w:color w:val="auto"/>
                <w:kern w:val="0"/>
                <w:sz w:val="24"/>
                <w:szCs w:val="24"/>
                <w:highlight w:val="none"/>
                <w:u w:val="none"/>
                <w:lang w:val="en-US" w:eastAsia="zh-CN" w:bidi="ar"/>
              </w:rPr>
              <w:t>2024年</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b/>
                <w:bCs w:val="0"/>
                <w:i w:val="0"/>
                <w:color w:val="auto"/>
                <w:sz w:val="24"/>
                <w:szCs w:val="24"/>
                <w:highlight w:val="none"/>
                <w:u w:val="none"/>
              </w:rPr>
            </w:pPr>
            <w:r>
              <w:rPr>
                <w:rFonts w:hint="default" w:ascii="Times New Roman" w:hAnsi="Times New Roman" w:eastAsia="仿宋" w:cs="Times New Roman"/>
                <w:b/>
                <w:bCs w:val="0"/>
                <w:i w:val="0"/>
                <w:color w:val="auto"/>
                <w:kern w:val="0"/>
                <w:sz w:val="24"/>
                <w:szCs w:val="24"/>
                <w:highlight w:val="none"/>
                <w:u w:val="none"/>
                <w:lang w:val="en-US" w:eastAsia="zh-CN" w:bidi="ar"/>
              </w:rPr>
              <w:t>2025年</w:t>
            </w:r>
          </w:p>
        </w:tc>
        <w:tc>
          <w:tcPr>
            <w:tcW w:w="1156"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400" w:lineRule="exact"/>
              <w:jc w:val="center"/>
              <w:outlineLvl w:val="9"/>
              <w:rPr>
                <w:rFonts w:hint="default" w:ascii="Times New Roman" w:hAnsi="Times New Roman" w:eastAsia="仿宋" w:cs="Times New Roman"/>
                <w:b/>
                <w:bCs w:val="0"/>
                <w:i w:val="0"/>
                <w:color w:val="auto"/>
                <w:sz w:val="24"/>
                <w:szCs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eastAsia" w:cs="Times New Roman"/>
                <w:i w:val="0"/>
                <w:color w:val="auto"/>
                <w:kern w:val="0"/>
                <w:sz w:val="24"/>
                <w:szCs w:val="24"/>
                <w:highlight w:val="none"/>
                <w:u w:val="none"/>
                <w:lang w:val="en-US" w:eastAsia="zh-CN" w:bidi="ar"/>
              </w:rPr>
              <w:t>城中区</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6</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4</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2</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0</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0</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0</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eastAsia" w:cs="Times New Roman"/>
                <w:i w:val="0"/>
                <w:color w:val="auto"/>
                <w:kern w:val="0"/>
                <w:sz w:val="24"/>
                <w:szCs w:val="24"/>
                <w:highlight w:val="none"/>
                <w:u w:val="none"/>
                <w:lang w:val="en-US" w:eastAsia="zh-CN" w:bidi="ar"/>
              </w:rPr>
              <w:t>柳北区</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27</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5</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2</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6</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3</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eastAsia" w:cs="Times New Roman"/>
                <w:i w:val="0"/>
                <w:color w:val="auto"/>
                <w:kern w:val="0"/>
                <w:sz w:val="24"/>
                <w:szCs w:val="24"/>
                <w:highlight w:val="none"/>
                <w:u w:val="none"/>
                <w:lang w:val="en-US" w:eastAsia="zh-CN" w:bidi="ar"/>
              </w:rPr>
              <w:t>柳南区</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39</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8</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6</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6</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3</w:t>
            </w: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4</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eastAsia" w:cs="Times New Roman"/>
                <w:i w:val="0"/>
                <w:color w:val="auto"/>
                <w:kern w:val="0"/>
                <w:sz w:val="24"/>
                <w:szCs w:val="24"/>
                <w:highlight w:val="none"/>
                <w:u w:val="none"/>
                <w:lang w:val="en-US" w:eastAsia="zh-CN" w:bidi="ar"/>
              </w:rPr>
              <w:t>鱼峰区</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21</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3</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3</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4</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4</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5</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eastAsia" w:cs="Times New Roman"/>
                <w:i w:val="0"/>
                <w:color w:val="auto"/>
                <w:kern w:val="0"/>
                <w:sz w:val="24"/>
                <w:szCs w:val="24"/>
                <w:highlight w:val="none"/>
                <w:u w:val="none"/>
                <w:lang w:val="en-US" w:eastAsia="zh-CN" w:bidi="ar"/>
              </w:rPr>
              <w:t>柳江区</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92</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5</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13</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1</w:t>
            </w:r>
            <w:r>
              <w:rPr>
                <w:rFonts w:hint="eastAsia" w:cs="Times New Roman"/>
                <w:i w:val="0"/>
                <w:color w:val="auto"/>
                <w:kern w:val="0"/>
                <w:sz w:val="24"/>
                <w:szCs w:val="24"/>
                <w:highlight w:val="none"/>
                <w:u w:val="none"/>
                <w:lang w:val="en-US" w:eastAsia="zh-CN" w:bidi="ar"/>
              </w:rPr>
              <w:t>4</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14</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5</w:t>
            </w:r>
            <w:r>
              <w:rPr>
                <w:rFonts w:hint="eastAsia" w:cs="Times New Roman"/>
                <w:i w:val="0"/>
                <w:color w:val="auto"/>
                <w:kern w:val="0"/>
                <w:sz w:val="24"/>
                <w:szCs w:val="24"/>
                <w:highlight w:val="none"/>
                <w:u w:val="none"/>
                <w:lang w:val="en-US" w:eastAsia="zh-CN" w:bidi="ar"/>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6</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eastAsia" w:cs="Times New Roman"/>
                <w:i w:val="0"/>
                <w:color w:val="auto"/>
                <w:kern w:val="0"/>
                <w:sz w:val="24"/>
                <w:szCs w:val="24"/>
                <w:highlight w:val="none"/>
                <w:u w:val="none"/>
                <w:lang w:val="en-US" w:eastAsia="zh-CN" w:bidi="ar"/>
              </w:rPr>
              <w:t>柳城县</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121</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7</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17</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1</w:t>
            </w:r>
            <w:r>
              <w:rPr>
                <w:rFonts w:hint="eastAsia" w:cs="Times New Roman"/>
                <w:i w:val="0"/>
                <w:color w:val="auto"/>
                <w:kern w:val="0"/>
                <w:sz w:val="24"/>
                <w:szCs w:val="24"/>
                <w:highlight w:val="none"/>
                <w:u w:val="none"/>
                <w:lang w:val="en-US" w:eastAsia="zh-CN" w:bidi="ar"/>
              </w:rPr>
              <w:t>7</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18</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7</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eastAsia" w:cs="Times New Roman"/>
                <w:i w:val="0"/>
                <w:color w:val="auto"/>
                <w:kern w:val="0"/>
                <w:sz w:val="24"/>
                <w:szCs w:val="24"/>
                <w:highlight w:val="none"/>
                <w:u w:val="none"/>
                <w:lang w:val="en-US" w:eastAsia="zh-CN" w:bidi="ar"/>
              </w:rPr>
              <w:t>鹿寨县</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110</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9</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1</w:t>
            </w:r>
            <w:r>
              <w:rPr>
                <w:rFonts w:hint="eastAsia" w:cs="Times New Roman"/>
                <w:i w:val="0"/>
                <w:color w:val="auto"/>
                <w:kern w:val="0"/>
                <w:sz w:val="24"/>
                <w:szCs w:val="24"/>
                <w:highlight w:val="none"/>
                <w:u w:val="none"/>
                <w:lang w:val="en-US" w:eastAsia="zh-CN" w:bidi="ar"/>
              </w:rPr>
              <w:t>3</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1</w:t>
            </w:r>
            <w:r>
              <w:rPr>
                <w:rFonts w:hint="eastAsia" w:cs="Times New Roman"/>
                <w:i w:val="0"/>
                <w:color w:val="auto"/>
                <w:kern w:val="0"/>
                <w:sz w:val="24"/>
                <w:szCs w:val="24"/>
                <w:highlight w:val="none"/>
                <w:u w:val="none"/>
                <w:lang w:val="en-US" w:eastAsia="zh-CN" w:bidi="ar"/>
              </w:rPr>
              <w:t>4</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14</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8</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default" w:ascii="Times New Roman" w:hAnsi="Times New Roman" w:eastAsia="仿宋" w:cs="Times New Roman"/>
                <w:i w:val="0"/>
                <w:color w:val="auto"/>
                <w:kern w:val="0"/>
                <w:sz w:val="24"/>
                <w:szCs w:val="24"/>
                <w:highlight w:val="none"/>
                <w:u w:val="none"/>
                <w:lang w:val="en-US" w:eastAsia="zh-CN" w:bidi="ar"/>
              </w:rPr>
              <w:t>融安县</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137</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1</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8</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9</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9</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3</w:t>
            </w:r>
            <w:r>
              <w:rPr>
                <w:rFonts w:hint="eastAsia" w:cs="Times New Roman"/>
                <w:i w:val="0"/>
                <w:color w:val="auto"/>
                <w:kern w:val="0"/>
                <w:sz w:val="24"/>
                <w:szCs w:val="24"/>
                <w:highlight w:val="none"/>
                <w:u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9</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default" w:ascii="Times New Roman" w:hAnsi="Times New Roman" w:eastAsia="仿宋" w:cs="Times New Roman"/>
                <w:i w:val="0"/>
                <w:color w:val="auto"/>
                <w:kern w:val="0"/>
                <w:sz w:val="24"/>
                <w:szCs w:val="24"/>
                <w:highlight w:val="none"/>
                <w:u w:val="none"/>
                <w:lang w:val="en-US" w:eastAsia="zh-CN" w:bidi="ar"/>
              </w:rPr>
              <w:t>融水苗族自治县</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198</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0</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5</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10</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10</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11</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10</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default" w:ascii="Times New Roman" w:hAnsi="Times New Roman" w:eastAsia="仿宋" w:cs="Times New Roman"/>
                <w:i w:val="0"/>
                <w:color w:val="auto"/>
                <w:kern w:val="0"/>
                <w:sz w:val="24"/>
                <w:szCs w:val="24"/>
                <w:highlight w:val="none"/>
                <w:u w:val="none"/>
                <w:lang w:val="en-US" w:eastAsia="zh-CN" w:bidi="ar"/>
              </w:rPr>
              <w:t>三江侗族自治县</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160</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9</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4</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6</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6</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7</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11</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default" w:ascii="Times New Roman" w:hAnsi="Times New Roman" w:eastAsia="仿宋" w:cs="Times New Roman"/>
                <w:i w:val="0"/>
                <w:color w:val="auto"/>
                <w:kern w:val="0"/>
                <w:sz w:val="24"/>
                <w:szCs w:val="24"/>
                <w:highlight w:val="none"/>
                <w:u w:val="none"/>
                <w:lang w:val="en-US" w:eastAsia="zh-CN" w:bidi="ar"/>
              </w:rPr>
              <w:t>柳东新区</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15</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2</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3</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3</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cs="Times New Roman"/>
                <w:i w:val="0"/>
                <w:color w:val="auto"/>
                <w:kern w:val="0"/>
                <w:sz w:val="24"/>
                <w:szCs w:val="24"/>
                <w:highlight w:val="none"/>
                <w:u w:val="none"/>
                <w:lang w:val="en" w:eastAsia="zh-CN" w:bidi="ar"/>
              </w:rPr>
              <w:t>3</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2</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bidi="ar"/>
              </w:rPr>
            </w:pPr>
            <w:r>
              <w:rPr>
                <w:rFonts w:hint="default" w:ascii="Times New Roman" w:hAnsi="Times New Roman" w:eastAsia="仿宋" w:cs="Times New Roman"/>
                <w:i w:val="0"/>
                <w:color w:val="auto"/>
                <w:kern w:val="0"/>
                <w:sz w:val="24"/>
                <w:szCs w:val="24"/>
                <w:highlight w:val="none"/>
                <w:u w:val="none"/>
                <w:lang w:val="en-US" w:eastAsia="zh-CN" w:bidi="ar"/>
              </w:rPr>
              <w:t>1</w:t>
            </w:r>
            <w:r>
              <w:rPr>
                <w:rFonts w:hint="eastAsia" w:cs="Times New Roman"/>
                <w:i w:val="0"/>
                <w:color w:val="auto"/>
                <w:kern w:val="0"/>
                <w:sz w:val="24"/>
                <w:szCs w:val="24"/>
                <w:highlight w:val="none"/>
                <w:u w:val="none"/>
                <w:lang w:val="en-US" w:eastAsia="zh-CN" w:bidi="ar"/>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12</w:t>
            </w:r>
          </w:p>
        </w:tc>
        <w:tc>
          <w:tcPr>
            <w:tcW w:w="10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default" w:ascii="Times New Roman" w:hAnsi="Times New Roman" w:eastAsia="仿宋" w:cs="Times New Roman"/>
                <w:i w:val="0"/>
                <w:color w:val="auto"/>
                <w:kern w:val="0"/>
                <w:sz w:val="24"/>
                <w:szCs w:val="24"/>
                <w:highlight w:val="none"/>
                <w:u w:val="none"/>
                <w:lang w:val="en-US" w:eastAsia="zh-CN" w:bidi="ar"/>
              </w:rPr>
              <w:t>北部生态新区</w:t>
            </w:r>
          </w:p>
        </w:tc>
        <w:tc>
          <w:tcPr>
            <w:tcW w:w="1152"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11</w:t>
            </w:r>
          </w:p>
        </w:tc>
        <w:tc>
          <w:tcPr>
            <w:tcW w:w="100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0</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3</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3</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3</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bidi="ar"/>
              </w:rPr>
            </w:pPr>
            <w:r>
              <w:rPr>
                <w:rFonts w:hint="eastAsia" w:cs="Times New Roman"/>
                <w:i w:val="0"/>
                <w:color w:val="auto"/>
                <w:kern w:val="0"/>
                <w:sz w:val="24"/>
                <w:szCs w:val="24"/>
                <w:highlight w:val="none"/>
                <w:u w:val="none"/>
                <w:lang w:val="en-US" w:eastAsia="zh-CN" w:bidi="ar"/>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64"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default" w:ascii="Times New Roman" w:hAnsi="Times New Roman" w:eastAsia="仿宋" w:cs="Times New Roman"/>
                <w:i w:val="0"/>
                <w:color w:val="auto"/>
                <w:kern w:val="0"/>
                <w:sz w:val="24"/>
                <w:szCs w:val="24"/>
                <w:highlight w:val="none"/>
                <w:u w:val="none"/>
                <w:lang w:val="en-US" w:eastAsia="zh-CN" w:bidi="ar"/>
              </w:rPr>
              <w:t>全</w:t>
            </w:r>
            <w:r>
              <w:rPr>
                <w:rFonts w:hint="eastAsia" w:cs="Times New Roman"/>
                <w:i w:val="0"/>
                <w:color w:val="auto"/>
                <w:kern w:val="0"/>
                <w:sz w:val="24"/>
                <w:szCs w:val="24"/>
                <w:highlight w:val="none"/>
                <w:u w:val="none"/>
                <w:lang w:val="en-US" w:eastAsia="zh-CN" w:bidi="ar"/>
              </w:rPr>
              <w:t>市</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default" w:ascii="Times New Roman" w:hAnsi="Times New Roman" w:eastAsia="仿宋" w:cs="Times New Roman"/>
                <w:color w:val="auto"/>
                <w:sz w:val="24"/>
                <w:szCs w:val="24"/>
                <w:highlight w:val="none"/>
                <w:u w:val="none"/>
                <w:lang w:val="en-US" w:eastAsia="zh-CN" w:bidi="ar"/>
              </w:rPr>
              <w:t>937</w:t>
            </w:r>
          </w:p>
        </w:tc>
        <w:tc>
          <w:tcPr>
            <w:tcW w:w="10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 w:eastAsia="zh-CN" w:bidi="ar"/>
              </w:rPr>
            </w:pPr>
            <w:r>
              <w:rPr>
                <w:rFonts w:hint="default" w:cs="Times New Roman"/>
                <w:i w:val="0"/>
                <w:color w:val="auto"/>
                <w:kern w:val="0"/>
                <w:sz w:val="24"/>
                <w:szCs w:val="24"/>
                <w:highlight w:val="none"/>
                <w:u w:val="none"/>
                <w:lang w:val="en" w:eastAsia="zh-CN" w:bidi="ar"/>
              </w:rPr>
              <w:t>4</w:t>
            </w:r>
            <w:r>
              <w:rPr>
                <w:rFonts w:hint="eastAsia" w:cs="Times New Roman"/>
                <w:i w:val="0"/>
                <w:color w:val="auto"/>
                <w:kern w:val="0"/>
                <w:sz w:val="24"/>
                <w:szCs w:val="24"/>
                <w:highlight w:val="none"/>
                <w:u w:val="none"/>
                <w:lang w:val="en-US" w:eastAsia="zh-CN" w:bidi="ar"/>
              </w:rPr>
              <w:t>7</w:t>
            </w:r>
          </w:p>
        </w:tc>
        <w:tc>
          <w:tcPr>
            <w:tcW w:w="11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48</w:t>
            </w:r>
          </w:p>
        </w:tc>
        <w:tc>
          <w:tcPr>
            <w:tcW w:w="11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87</w:t>
            </w:r>
          </w:p>
        </w:tc>
        <w:tc>
          <w:tcPr>
            <w:tcW w:w="12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90</w:t>
            </w:r>
          </w:p>
        </w:tc>
        <w:tc>
          <w:tcPr>
            <w:tcW w:w="115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93</w:t>
            </w:r>
          </w:p>
        </w:tc>
        <w:tc>
          <w:tcPr>
            <w:tcW w:w="1156"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365</w:t>
            </w:r>
          </w:p>
        </w:tc>
      </w:tr>
    </w:tbl>
    <w:p>
      <w:pPr>
        <w:keepNext w:val="0"/>
        <w:keepLines w:val="0"/>
        <w:pageBreakBefore w:val="0"/>
        <w:widowControl w:val="0"/>
        <w:kinsoku/>
        <w:wordWrap/>
        <w:overflowPunct/>
        <w:topLinePunct w:val="0"/>
        <w:autoSpaceDE w:val="0"/>
        <w:autoSpaceDN w:val="0"/>
        <w:bidi w:val="0"/>
        <w:adjustRightInd w:val="0"/>
        <w:snapToGrid w:val="0"/>
        <w:spacing w:before="192" w:beforeLines="80" w:line="240" w:lineRule="auto"/>
        <w:ind w:left="0" w:leftChars="0" w:firstLine="0" w:firstLineChars="0"/>
        <w:textAlignment w:val="auto"/>
        <w:outlineLvl w:val="9"/>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bCs/>
          <w:color w:val="auto"/>
          <w:sz w:val="24"/>
          <w:szCs w:val="24"/>
          <w:highlight w:val="none"/>
          <w:u w:val="none"/>
        </w:rPr>
        <w:t>注</w:t>
      </w:r>
      <w:r>
        <w:rPr>
          <w:rFonts w:hint="default" w:ascii="Times New Roman" w:hAnsi="Times New Roman" w:cs="Times New Roman"/>
          <w:bCs/>
          <w:color w:val="auto"/>
          <w:sz w:val="24"/>
          <w:szCs w:val="24"/>
          <w:highlight w:val="none"/>
          <w:u w:val="none"/>
          <w:lang w:eastAsia="zh-CN"/>
        </w:rPr>
        <w:t>：</w:t>
      </w:r>
      <w:bookmarkStart w:id="136" w:name="_Toc8889"/>
      <w:bookmarkStart w:id="137" w:name="_Toc15507"/>
      <w:bookmarkStart w:id="138" w:name="_Toc27106"/>
      <w:bookmarkStart w:id="139" w:name="_Toc1427"/>
      <w:bookmarkStart w:id="140" w:name="_Toc29139"/>
      <w:bookmarkStart w:id="141" w:name="_Toc27628"/>
      <w:r>
        <w:rPr>
          <w:rFonts w:hint="default" w:ascii="Times New Roman" w:hAnsi="Times New Roman" w:cs="Times New Roman"/>
          <w:bCs/>
          <w:color w:val="auto"/>
          <w:sz w:val="24"/>
          <w:szCs w:val="24"/>
          <w:highlight w:val="none"/>
          <w:u w:val="none"/>
          <w:lang w:eastAsia="zh-CN"/>
        </w:rPr>
        <w:t>已完成阶段性治理的行政村数量指自然村（组）覆盖率达到60%的行政村数量</w:t>
      </w:r>
      <w:r>
        <w:rPr>
          <w:rFonts w:hint="eastAsia" w:cs="Times New Roman"/>
          <w:bCs/>
          <w:color w:val="auto"/>
          <w:sz w:val="24"/>
          <w:szCs w:val="24"/>
          <w:highlight w:val="none"/>
          <w:u w:val="none"/>
          <w:lang w:eastAsia="zh-CN"/>
        </w:rPr>
        <w:t>，即每个行政村60%以上自然村屯生活污水完成治理，自然村屯60%以上农户的生活污水得到处理或资源化利用；</w:t>
      </w:r>
      <w:r>
        <w:rPr>
          <w:rFonts w:hint="eastAsia" w:cs="Times New Roman"/>
          <w:bCs/>
          <w:color w:val="auto"/>
          <w:sz w:val="24"/>
          <w:szCs w:val="24"/>
          <w:highlight w:val="none"/>
          <w:u w:val="none"/>
          <w:lang w:val="en-US" w:eastAsia="zh-CN"/>
        </w:rPr>
        <w:t>柳北区、鱼峰区、柳城县、融水县、鹿寨县、柳东新区等相关县区报送的按改厕完成资源化利用的行政村暂未纳入已完成</w:t>
      </w:r>
      <w:r>
        <w:rPr>
          <w:rFonts w:hint="eastAsia" w:ascii="Times New Roman" w:hAnsi="Times New Roman" w:cs="Times New Roman"/>
          <w:b w:val="0"/>
          <w:bCs/>
          <w:i w:val="0"/>
          <w:color w:val="auto"/>
          <w:kern w:val="0"/>
          <w:sz w:val="24"/>
          <w:szCs w:val="24"/>
          <w:highlight w:val="none"/>
          <w:u w:val="none"/>
          <w:lang w:val="en-US" w:eastAsia="zh-CN" w:bidi="ar"/>
        </w:rPr>
        <w:t>阶段性治理</w:t>
      </w:r>
      <w:r>
        <w:rPr>
          <w:rFonts w:hint="default" w:cs="Times New Roman"/>
          <w:b w:val="0"/>
          <w:bCs/>
          <w:i w:val="0"/>
          <w:color w:val="auto"/>
          <w:kern w:val="0"/>
          <w:sz w:val="24"/>
          <w:szCs w:val="24"/>
          <w:highlight w:val="none"/>
          <w:u w:val="none"/>
          <w:lang w:val="en-US" w:eastAsia="zh-CN" w:bidi="ar"/>
        </w:rPr>
        <w:t>行政村</w:t>
      </w:r>
      <w:r>
        <w:rPr>
          <w:rFonts w:hint="eastAsia" w:cs="Times New Roman"/>
          <w:b w:val="0"/>
          <w:bCs/>
          <w:i w:val="0"/>
          <w:color w:val="auto"/>
          <w:kern w:val="0"/>
          <w:sz w:val="24"/>
          <w:szCs w:val="24"/>
          <w:highlight w:val="none"/>
          <w:u w:val="none"/>
          <w:lang w:val="en-US" w:eastAsia="zh-CN" w:bidi="ar"/>
        </w:rPr>
        <w:t>统计</w:t>
      </w:r>
      <w:r>
        <w:rPr>
          <w:rFonts w:hint="default" w:cs="Times New Roman"/>
          <w:b w:val="0"/>
          <w:bCs/>
          <w:i w:val="0"/>
          <w:color w:val="auto"/>
          <w:kern w:val="0"/>
          <w:sz w:val="24"/>
          <w:szCs w:val="24"/>
          <w:highlight w:val="none"/>
          <w:u w:val="none"/>
          <w:lang w:val="en-US" w:eastAsia="zh-CN" w:bidi="ar"/>
        </w:rPr>
        <w:t>，需</w:t>
      </w:r>
      <w:r>
        <w:rPr>
          <w:rFonts w:hint="eastAsia" w:cs="Times New Roman"/>
          <w:bCs/>
          <w:color w:val="auto"/>
          <w:sz w:val="24"/>
          <w:szCs w:val="24"/>
          <w:highlight w:val="none"/>
          <w:u w:val="none"/>
          <w:lang w:val="en-US" w:eastAsia="zh-CN"/>
        </w:rPr>
        <w:t>按自治区2022年资源化利用要求进一步完善。</w:t>
      </w:r>
    </w:p>
    <w:p>
      <w:pPr>
        <w:rPr>
          <w:rFonts w:hint="default" w:ascii="Times New Roman" w:hAnsi="Times New Roman" w:cs="Times New Roman"/>
          <w:b/>
          <w:bCs/>
          <w:color w:val="auto"/>
          <w:highlight w:val="none"/>
          <w:u w:val="none"/>
        </w:rPr>
        <w:sectPr>
          <w:pgSz w:w="11911" w:h="16838"/>
          <w:pgMar w:top="850" w:right="1134" w:bottom="850" w:left="1134" w:header="964" w:footer="1417" w:gutter="0"/>
          <w:pgBorders w:offsetFrom="page">
            <w:top w:val="none" w:sz="0" w:space="0"/>
            <w:left w:val="none" w:sz="0" w:space="0"/>
            <w:bottom w:val="none" w:sz="0" w:space="0"/>
            <w:right w:val="none" w:sz="0" w:space="0"/>
          </w:pgBorders>
          <w:pgNumType w:fmt="decimal"/>
          <w:cols w:space="720" w:num="1"/>
          <w:rtlGutter w:val="0"/>
          <w:docGrid w:linePitch="435" w:charSpace="0"/>
        </w:sectPr>
      </w:pPr>
      <w:bookmarkStart w:id="142" w:name="_Toc7127_WPSOffice_Level1"/>
    </w:p>
    <w:bookmarkEnd w:id="136"/>
    <w:bookmarkEnd w:id="137"/>
    <w:bookmarkEnd w:id="138"/>
    <w:bookmarkEnd w:id="139"/>
    <w:bookmarkEnd w:id="140"/>
    <w:bookmarkEnd w:id="141"/>
    <w:bookmarkEnd w:id="142"/>
    <w:p>
      <w:pPr>
        <w:jc w:val="center"/>
        <w:rPr>
          <w:rFonts w:hint="default" w:ascii="Times New Roman" w:hAnsi="Times New Roman" w:eastAsia="楷体" w:cs="Times New Roman"/>
          <w:b w:val="0"/>
          <w:color w:val="auto"/>
          <w:szCs w:val="22"/>
          <w:highlight w:val="none"/>
          <w:lang w:val="en-US" w:eastAsia="zh-CN" w:bidi="ar-SA"/>
        </w:rPr>
      </w:pPr>
      <w:bookmarkStart w:id="143" w:name="_Toc3123"/>
      <w:r>
        <w:rPr>
          <w:rFonts w:hint="default" w:ascii="Times New Roman" w:hAnsi="Times New Roman" w:cs="Times New Roman"/>
          <w:b/>
          <w:bCs/>
          <w:color w:val="auto"/>
          <w:highlight w:val="none"/>
          <w:lang w:val="en-US" w:eastAsia="zh-CN"/>
        </w:rPr>
        <w:t xml:space="preserve">表3 </w:t>
      </w:r>
      <w:r>
        <w:rPr>
          <w:rFonts w:hint="eastAsia" w:cs="Times New Roman"/>
          <w:b/>
          <w:bCs/>
          <w:color w:val="auto"/>
          <w:highlight w:val="none"/>
          <w:lang w:val="en-US" w:eastAsia="zh-CN"/>
        </w:rPr>
        <w:t>柳州市</w:t>
      </w:r>
      <w:r>
        <w:rPr>
          <w:rFonts w:hint="default" w:ascii="Times New Roman" w:hAnsi="Times New Roman" w:cs="Times New Roman"/>
          <w:b/>
          <w:bCs/>
          <w:color w:val="auto"/>
          <w:highlight w:val="none"/>
          <w:lang w:val="en-US" w:eastAsia="zh-CN"/>
        </w:rPr>
        <w:t>农村黑臭水体整治率目标</w:t>
      </w:r>
      <w:r>
        <w:rPr>
          <w:rFonts w:hint="eastAsia" w:cs="Times New Roman"/>
          <w:b/>
          <w:bCs/>
          <w:color w:val="auto"/>
          <w:highlight w:val="none"/>
          <w:lang w:eastAsia="zh-CN"/>
        </w:rPr>
        <w:t>（</w:t>
      </w:r>
      <w:r>
        <w:rPr>
          <w:rFonts w:hint="eastAsia" w:cs="Times New Roman"/>
          <w:b/>
          <w:bCs/>
          <w:color w:val="auto"/>
          <w:highlight w:val="none"/>
          <w:lang w:val="en-US" w:eastAsia="zh-CN"/>
        </w:rPr>
        <w:t>2022-2025年</w:t>
      </w:r>
      <w:r>
        <w:rPr>
          <w:rFonts w:hint="eastAsia" w:cs="Times New Roman"/>
          <w:b/>
          <w:bCs/>
          <w:color w:val="auto"/>
          <w:highlight w:val="none"/>
          <w:lang w:eastAsia="zh-CN"/>
        </w:rPr>
        <w:t>）</w:t>
      </w:r>
    </w:p>
    <w:tbl>
      <w:tblPr>
        <w:tblStyle w:val="16"/>
        <w:tblW w:w="1379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1732"/>
        <w:gridCol w:w="1425"/>
        <w:gridCol w:w="1509"/>
        <w:gridCol w:w="869"/>
        <w:gridCol w:w="869"/>
        <w:gridCol w:w="869"/>
        <w:gridCol w:w="869"/>
        <w:gridCol w:w="869"/>
        <w:gridCol w:w="869"/>
        <w:gridCol w:w="869"/>
        <w:gridCol w:w="869"/>
        <w:gridCol w:w="869"/>
        <w:gridCol w:w="8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 w:hRule="atLeast"/>
          <w:tblHeader/>
        </w:trPr>
        <w:tc>
          <w:tcPr>
            <w:tcW w:w="434"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序号</w:t>
            </w:r>
          </w:p>
        </w:tc>
        <w:tc>
          <w:tcPr>
            <w:tcW w:w="1732"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eastAsia" w:cs="Times New Roman"/>
                <w:b/>
                <w:i w:val="0"/>
                <w:color w:val="auto"/>
                <w:kern w:val="0"/>
                <w:sz w:val="24"/>
                <w:szCs w:val="24"/>
                <w:highlight w:val="none"/>
                <w:u w:val="none"/>
                <w:lang w:val="en-US" w:eastAsia="zh-CN" w:bidi="ar"/>
              </w:rPr>
              <w:t>县区、新区</w:t>
            </w:r>
          </w:p>
        </w:tc>
        <w:tc>
          <w:tcPr>
            <w:tcW w:w="142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已排查出的农村黑臭水体（条）</w:t>
            </w:r>
          </w:p>
        </w:tc>
        <w:tc>
          <w:tcPr>
            <w:tcW w:w="150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纳入国家监管清单的黑臭水体（条</w:t>
            </w:r>
            <w:r>
              <w:rPr>
                <w:rFonts w:hint="default" w:ascii="Times New Roman" w:hAnsi="Times New Roman" w:cs="Times New Roman"/>
                <w:b/>
                <w:i w:val="0"/>
                <w:color w:val="auto"/>
                <w:kern w:val="0"/>
                <w:sz w:val="24"/>
                <w:szCs w:val="24"/>
                <w:highlight w:val="none"/>
                <w:u w:val="none"/>
                <w:lang w:val="en-US" w:eastAsia="zh-CN" w:bidi="ar"/>
              </w:rPr>
              <w:t>）</w:t>
            </w:r>
          </w:p>
        </w:tc>
        <w:tc>
          <w:tcPr>
            <w:tcW w:w="4345" w:type="dxa"/>
            <w:gridSpan w:val="5"/>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kern w:val="0"/>
                <w:sz w:val="24"/>
                <w:szCs w:val="24"/>
                <w:highlight w:val="none"/>
                <w:u w:val="none"/>
                <w:lang w:val="en-US" w:eastAsia="zh-CN" w:bidi="ar"/>
              </w:rPr>
            </w:pPr>
            <w:r>
              <w:rPr>
                <w:rFonts w:hint="default" w:ascii="Times New Roman" w:hAnsi="Times New Roman" w:eastAsia="仿宋" w:cs="Times New Roman"/>
                <w:b/>
                <w:i w:val="0"/>
                <w:color w:val="auto"/>
                <w:kern w:val="0"/>
                <w:sz w:val="24"/>
                <w:szCs w:val="24"/>
                <w:highlight w:val="none"/>
                <w:u w:val="none"/>
                <w:lang w:val="en-US" w:eastAsia="zh-CN" w:bidi="ar"/>
              </w:rPr>
              <w:t>新增农村黑臭水体治理数量（条）</w:t>
            </w:r>
          </w:p>
        </w:tc>
        <w:tc>
          <w:tcPr>
            <w:tcW w:w="4346" w:type="dxa"/>
            <w:gridSpan w:val="5"/>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cs="Times New Roman"/>
                <w:b/>
                <w:i w:val="0"/>
                <w:color w:val="auto"/>
                <w:kern w:val="0"/>
                <w:sz w:val="24"/>
                <w:szCs w:val="24"/>
                <w:highlight w:val="none"/>
                <w:u w:val="none"/>
                <w:lang w:val="en-US" w:eastAsia="zh-CN" w:bidi="ar"/>
              </w:rPr>
            </w:pPr>
            <w:r>
              <w:rPr>
                <w:rFonts w:hint="default" w:ascii="Times New Roman" w:hAnsi="Times New Roman" w:cs="Times New Roman"/>
                <w:b/>
                <w:i w:val="0"/>
                <w:color w:val="auto"/>
                <w:kern w:val="0"/>
                <w:sz w:val="24"/>
                <w:szCs w:val="24"/>
                <w:highlight w:val="none"/>
                <w:u w:val="none"/>
                <w:lang w:val="en-US" w:eastAsia="zh-CN" w:bidi="ar"/>
              </w:rPr>
              <w:t>其中</w:t>
            </w:r>
            <w:r>
              <w:rPr>
                <w:rFonts w:hint="default" w:ascii="Times New Roman" w:hAnsi="Times New Roman" w:eastAsia="仿宋" w:cs="Times New Roman"/>
                <w:b/>
                <w:i w:val="0"/>
                <w:color w:val="auto"/>
                <w:kern w:val="0"/>
                <w:sz w:val="24"/>
                <w:szCs w:val="24"/>
                <w:highlight w:val="none"/>
                <w:u w:val="none"/>
                <w:lang w:val="en-US" w:eastAsia="zh-CN" w:bidi="ar"/>
              </w:rPr>
              <w:t>新增国家监管农村黑臭水体治理数量（条）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2" w:hRule="atLeast"/>
          <w:tblHeader/>
        </w:trPr>
        <w:tc>
          <w:tcPr>
            <w:tcW w:w="434"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仿宋" w:cs="Times New Roman"/>
                <w:b/>
                <w:i w:val="0"/>
                <w:color w:val="auto"/>
                <w:sz w:val="24"/>
                <w:szCs w:val="24"/>
                <w:highlight w:val="none"/>
                <w:u w:val="none"/>
              </w:rPr>
            </w:pPr>
          </w:p>
        </w:tc>
        <w:tc>
          <w:tcPr>
            <w:tcW w:w="1732"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仿宋" w:cs="Times New Roman"/>
                <w:b/>
                <w:i w:val="0"/>
                <w:color w:val="auto"/>
                <w:sz w:val="24"/>
                <w:szCs w:val="24"/>
                <w:highlight w:val="none"/>
                <w:u w:val="none"/>
              </w:rPr>
            </w:pPr>
          </w:p>
        </w:tc>
        <w:tc>
          <w:tcPr>
            <w:tcW w:w="1425"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仿宋" w:cs="Times New Roman"/>
                <w:b/>
                <w:i w:val="0"/>
                <w:color w:val="auto"/>
                <w:sz w:val="24"/>
                <w:szCs w:val="24"/>
                <w:highlight w:val="none"/>
                <w:u w:val="none"/>
              </w:rPr>
            </w:pPr>
          </w:p>
        </w:tc>
        <w:tc>
          <w:tcPr>
            <w:tcW w:w="1509" w:type="dxa"/>
            <w:vMerge w:val="continue"/>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300" w:lineRule="exact"/>
              <w:jc w:val="center"/>
              <w:outlineLvl w:val="9"/>
              <w:rPr>
                <w:rFonts w:hint="default" w:ascii="Times New Roman" w:hAnsi="Times New Roman" w:eastAsia="仿宋" w:cs="Times New Roman"/>
                <w:b/>
                <w:i w:val="0"/>
                <w:color w:val="auto"/>
                <w:sz w:val="24"/>
                <w:szCs w:val="24"/>
                <w:highlight w:val="none"/>
                <w:u w:val="none"/>
              </w:rPr>
            </w:pP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2022年</w:t>
            </w: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2023年</w:t>
            </w: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2024年</w:t>
            </w: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2025年</w:t>
            </w: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eastAsia" w:cs="Times New Roman"/>
                <w:b/>
                <w:i w:val="0"/>
                <w:color w:val="auto"/>
                <w:kern w:val="0"/>
                <w:sz w:val="21"/>
                <w:szCs w:val="21"/>
                <w:highlight w:val="none"/>
                <w:u w:val="none"/>
                <w:lang w:val="en-US" w:eastAsia="zh-CN" w:bidi="ar"/>
              </w:rPr>
              <w:t>“</w:t>
            </w:r>
            <w:r>
              <w:rPr>
                <w:rFonts w:hint="default" w:ascii="Times New Roman" w:hAnsi="Times New Roman" w:eastAsia="仿宋" w:cs="Times New Roman"/>
                <w:b/>
                <w:i w:val="0"/>
                <w:color w:val="auto"/>
                <w:kern w:val="0"/>
                <w:sz w:val="21"/>
                <w:szCs w:val="21"/>
                <w:highlight w:val="none"/>
                <w:u w:val="none"/>
                <w:lang w:val="en-US" w:eastAsia="zh-CN" w:bidi="ar"/>
              </w:rPr>
              <w:t>十四五</w:t>
            </w:r>
            <w:r>
              <w:rPr>
                <w:rFonts w:hint="eastAsia" w:cs="Times New Roman"/>
                <w:b/>
                <w:i w:val="0"/>
                <w:color w:val="auto"/>
                <w:kern w:val="0"/>
                <w:sz w:val="21"/>
                <w:szCs w:val="21"/>
                <w:highlight w:val="none"/>
                <w:u w:val="none"/>
                <w:lang w:val="en-US" w:eastAsia="zh-CN" w:bidi="ar"/>
              </w:rPr>
              <w:t>”</w:t>
            </w:r>
            <w:r>
              <w:rPr>
                <w:rFonts w:hint="default" w:ascii="Times New Roman" w:hAnsi="Times New Roman" w:eastAsia="仿宋" w:cs="Times New Roman"/>
                <w:b/>
                <w:i w:val="0"/>
                <w:color w:val="auto"/>
                <w:kern w:val="0"/>
                <w:sz w:val="21"/>
                <w:szCs w:val="21"/>
                <w:highlight w:val="none"/>
                <w:u w:val="none"/>
                <w:lang w:val="en-US" w:eastAsia="zh-CN" w:bidi="ar"/>
              </w:rPr>
              <w:t>累计新增</w:t>
            </w: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2022年</w:t>
            </w: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2023年</w:t>
            </w: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2024年</w:t>
            </w:r>
          </w:p>
        </w:tc>
        <w:tc>
          <w:tcPr>
            <w:tcW w:w="8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2025年</w:t>
            </w:r>
          </w:p>
        </w:tc>
        <w:tc>
          <w:tcPr>
            <w:tcW w:w="8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b/>
                <w:i w:val="0"/>
                <w:color w:val="auto"/>
                <w:sz w:val="21"/>
                <w:szCs w:val="21"/>
                <w:highlight w:val="none"/>
                <w:u w:val="none"/>
              </w:rPr>
            </w:pPr>
            <w:r>
              <w:rPr>
                <w:rFonts w:hint="eastAsia" w:cs="Times New Roman"/>
                <w:b/>
                <w:i w:val="0"/>
                <w:color w:val="auto"/>
                <w:kern w:val="0"/>
                <w:sz w:val="21"/>
                <w:szCs w:val="21"/>
                <w:highlight w:val="none"/>
                <w:u w:val="none"/>
                <w:lang w:val="en-US" w:eastAsia="zh-CN" w:bidi="ar"/>
              </w:rPr>
              <w:t>“</w:t>
            </w:r>
            <w:r>
              <w:rPr>
                <w:rFonts w:hint="default" w:ascii="Times New Roman" w:hAnsi="Times New Roman" w:eastAsia="仿宋" w:cs="Times New Roman"/>
                <w:b/>
                <w:i w:val="0"/>
                <w:color w:val="auto"/>
                <w:kern w:val="0"/>
                <w:sz w:val="21"/>
                <w:szCs w:val="21"/>
                <w:highlight w:val="none"/>
                <w:u w:val="none"/>
                <w:lang w:val="en-US" w:eastAsia="zh-CN" w:bidi="ar"/>
              </w:rPr>
              <w:t>十四五</w:t>
            </w:r>
            <w:r>
              <w:rPr>
                <w:rFonts w:hint="eastAsia" w:cs="Times New Roman"/>
                <w:b/>
                <w:i w:val="0"/>
                <w:color w:val="auto"/>
                <w:kern w:val="0"/>
                <w:sz w:val="21"/>
                <w:szCs w:val="21"/>
                <w:highlight w:val="none"/>
                <w:u w:val="none"/>
                <w:lang w:val="en-US" w:eastAsia="zh-CN" w:bidi="ar"/>
              </w:rPr>
              <w:t>”</w:t>
            </w:r>
            <w:r>
              <w:rPr>
                <w:rFonts w:hint="default" w:ascii="Times New Roman" w:hAnsi="Times New Roman" w:eastAsia="仿宋" w:cs="Times New Roman"/>
                <w:b/>
                <w:i w:val="0"/>
                <w:color w:val="auto"/>
                <w:kern w:val="0"/>
                <w:sz w:val="21"/>
                <w:szCs w:val="21"/>
                <w:highlight w:val="none"/>
                <w:u w:val="none"/>
                <w:lang w:val="en-US" w:eastAsia="zh-CN" w:bidi="ar"/>
              </w:rPr>
              <w:t>累计新增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43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w:t>
            </w:r>
          </w:p>
        </w:tc>
        <w:tc>
          <w:tcPr>
            <w:tcW w:w="173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柳南区</w:t>
            </w:r>
          </w:p>
        </w:tc>
        <w:tc>
          <w:tcPr>
            <w:tcW w:w="142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2</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2</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43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c>
          <w:tcPr>
            <w:tcW w:w="173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柳江区</w:t>
            </w:r>
          </w:p>
        </w:tc>
        <w:tc>
          <w:tcPr>
            <w:tcW w:w="142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1</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43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w:t>
            </w:r>
          </w:p>
        </w:tc>
        <w:tc>
          <w:tcPr>
            <w:tcW w:w="173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鹿寨县</w:t>
            </w:r>
          </w:p>
        </w:tc>
        <w:tc>
          <w:tcPr>
            <w:tcW w:w="1425"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6</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bidi="ar"/>
              </w:rPr>
            </w:pPr>
            <w:r>
              <w:rPr>
                <w:rFonts w:hint="eastAsia" w:cs="Times New Roman"/>
                <w:i w:val="0"/>
                <w:color w:val="auto"/>
                <w:kern w:val="0"/>
                <w:sz w:val="24"/>
                <w:szCs w:val="24"/>
                <w:highlight w:val="none"/>
                <w:u w:val="none"/>
                <w:lang w:val="en-US" w:eastAsia="zh-CN" w:bidi="ar"/>
              </w:rPr>
              <w:t>4</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3</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2</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6</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3</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2166"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lang w:val="en-US" w:eastAsia="zh-CN" w:bidi="ar-SA"/>
              </w:rPr>
            </w:pPr>
            <w:r>
              <w:rPr>
                <w:rFonts w:hint="default" w:ascii="Times New Roman" w:hAnsi="Times New Roman" w:eastAsia="仿宋" w:cs="Times New Roman"/>
                <w:i w:val="0"/>
                <w:color w:val="auto"/>
                <w:kern w:val="0"/>
                <w:sz w:val="24"/>
                <w:szCs w:val="24"/>
                <w:highlight w:val="none"/>
                <w:u w:val="none"/>
                <w:lang w:val="en-US" w:eastAsia="zh-CN" w:bidi="ar"/>
              </w:rPr>
              <w:t>全</w:t>
            </w:r>
            <w:r>
              <w:rPr>
                <w:rFonts w:hint="eastAsia" w:cs="Times New Roman"/>
                <w:i w:val="0"/>
                <w:color w:val="auto"/>
                <w:kern w:val="0"/>
                <w:sz w:val="24"/>
                <w:szCs w:val="24"/>
                <w:highlight w:val="none"/>
                <w:u w:val="none"/>
                <w:lang w:val="en-US" w:eastAsia="zh-CN" w:bidi="ar"/>
              </w:rPr>
              <w:t>市</w:t>
            </w:r>
          </w:p>
        </w:tc>
        <w:tc>
          <w:tcPr>
            <w:tcW w:w="14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9</w:t>
            </w:r>
          </w:p>
        </w:tc>
        <w:tc>
          <w:tcPr>
            <w:tcW w:w="150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5</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3</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2</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3</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9</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3</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2</w:t>
            </w:r>
          </w:p>
        </w:tc>
        <w:tc>
          <w:tcPr>
            <w:tcW w:w="869" w:type="dxa"/>
            <w:noWrap w:val="0"/>
            <w:tcMar>
              <w:top w:w="15" w:type="dxa"/>
              <w:left w:w="15" w:type="dxa"/>
              <w:right w:w="15" w:type="dxa"/>
            </w:tcMar>
            <w:vAlign w:val="center"/>
          </w:tcPr>
          <w:p>
            <w:pPr>
              <w:keepNext w:val="0"/>
              <w:keepLines w:val="0"/>
              <w:widowControl/>
              <w:suppressLineNumbers w:val="0"/>
              <w:spacing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69" w:type="dxa"/>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Lines="0" w:afterLines="0" w:line="4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87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0" w:firstLineChars="0"/>
              <w:jc w:val="center"/>
              <w:textAlignment w:val="center"/>
              <w:outlineLvl w:val="9"/>
              <w:rPr>
                <w:rFonts w:hint="eastAsia" w:ascii="Times New Roman" w:hAnsi="Times New Roman" w:eastAsia="仿宋" w:cs="Times New Roman"/>
                <w:i w:val="0"/>
                <w:color w:val="auto"/>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r>
    </w:tbl>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outlineLvl w:val="9"/>
        <w:rPr>
          <w:rFonts w:hint="default" w:ascii="Times New Roman" w:hAnsi="Times New Roman" w:eastAsia="仿宋" w:cs="Times New Roman"/>
          <w:color w:val="auto"/>
          <w:sz w:val="21"/>
          <w:szCs w:val="21"/>
          <w:highlight w:val="none"/>
          <w:lang w:val="en-US" w:eastAsia="zh-CN"/>
        </w:rPr>
        <w:sectPr>
          <w:pgSz w:w="16838" w:h="11911" w:orient="landscape"/>
          <w:pgMar w:top="1474" w:right="1417" w:bottom="1474" w:left="1531" w:header="964" w:footer="1417" w:gutter="0"/>
          <w:pgBorders w:offsetFrom="page">
            <w:top w:val="none" w:sz="0" w:space="0"/>
            <w:left w:val="none" w:sz="0" w:space="0"/>
            <w:bottom w:val="none" w:sz="0" w:space="0"/>
            <w:right w:val="none" w:sz="0" w:space="0"/>
          </w:pgBorders>
          <w:cols w:space="720" w:num="1"/>
          <w:rtlGutter w:val="0"/>
          <w:docGrid w:linePitch="312" w:charSpace="0"/>
        </w:sectPr>
      </w:pPr>
      <w:r>
        <w:rPr>
          <w:rFonts w:hint="default" w:ascii="Times New Roman" w:hAnsi="Times New Roman" w:eastAsia="仿宋" w:cs="Times New Roman"/>
          <w:color w:val="auto"/>
          <w:sz w:val="21"/>
          <w:szCs w:val="21"/>
          <w:highlight w:val="none"/>
          <w:lang w:val="en-US" w:eastAsia="zh-CN"/>
        </w:rPr>
        <w:t>注：</w:t>
      </w:r>
      <w:r>
        <w:rPr>
          <w:rFonts w:hint="default" w:cs="Times New Roman"/>
          <w:color w:val="auto"/>
          <w:sz w:val="21"/>
          <w:szCs w:val="21"/>
          <w:highlight w:val="none"/>
          <w:lang w:val="en-US" w:eastAsia="zh-CN"/>
        </w:rPr>
        <w:t>柳北区、鱼峰区、城中区、</w:t>
      </w:r>
      <w:r>
        <w:rPr>
          <w:rFonts w:hint="default" w:cs="Times New Roman"/>
          <w:i w:val="0"/>
          <w:color w:val="auto"/>
          <w:kern w:val="0"/>
          <w:sz w:val="21"/>
          <w:szCs w:val="21"/>
          <w:highlight w:val="none"/>
          <w:u w:val="none"/>
          <w:lang w:val="en-US" w:eastAsia="zh-CN" w:bidi="ar"/>
        </w:rPr>
        <w:t>柳城县</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i w:val="0"/>
          <w:color w:val="auto"/>
          <w:kern w:val="0"/>
          <w:sz w:val="21"/>
          <w:szCs w:val="21"/>
          <w:highlight w:val="none"/>
          <w:u w:val="none"/>
          <w:lang w:val="en-US" w:eastAsia="zh-CN" w:bidi="ar"/>
        </w:rPr>
        <w:t>融安县</w:t>
      </w:r>
      <w:r>
        <w:rPr>
          <w:rFonts w:hint="default" w:cs="Times New Roman"/>
          <w:i w:val="0"/>
          <w:color w:val="auto"/>
          <w:kern w:val="0"/>
          <w:sz w:val="21"/>
          <w:szCs w:val="21"/>
          <w:highlight w:val="none"/>
          <w:u w:val="none"/>
          <w:lang w:val="en-US" w:eastAsia="zh-CN" w:bidi="ar"/>
        </w:rPr>
        <w:t>、</w:t>
      </w:r>
      <w:r>
        <w:rPr>
          <w:rFonts w:hint="default" w:ascii="Times New Roman" w:hAnsi="Times New Roman" w:eastAsia="仿宋" w:cs="Times New Roman"/>
          <w:i w:val="0"/>
          <w:color w:val="auto"/>
          <w:kern w:val="0"/>
          <w:sz w:val="21"/>
          <w:szCs w:val="21"/>
          <w:highlight w:val="none"/>
          <w:u w:val="none"/>
          <w:lang w:val="en-US" w:eastAsia="zh-CN" w:bidi="ar"/>
        </w:rPr>
        <w:t>融水苗族自治县</w:t>
      </w:r>
      <w:r>
        <w:rPr>
          <w:rFonts w:hint="default" w:cs="Times New Roman"/>
          <w:i w:val="0"/>
          <w:color w:val="auto"/>
          <w:kern w:val="0"/>
          <w:sz w:val="21"/>
          <w:szCs w:val="21"/>
          <w:highlight w:val="none"/>
          <w:u w:val="none"/>
          <w:lang w:val="en-US" w:eastAsia="zh-CN" w:bidi="ar"/>
        </w:rPr>
        <w:t>、</w:t>
      </w:r>
      <w:r>
        <w:rPr>
          <w:rFonts w:hint="default" w:ascii="Times New Roman" w:hAnsi="Times New Roman" w:eastAsia="仿宋" w:cs="Times New Roman"/>
          <w:i w:val="0"/>
          <w:color w:val="auto"/>
          <w:kern w:val="0"/>
          <w:sz w:val="21"/>
          <w:szCs w:val="21"/>
          <w:highlight w:val="none"/>
          <w:u w:val="none"/>
          <w:lang w:val="en-US" w:eastAsia="zh-CN" w:bidi="ar"/>
        </w:rPr>
        <w:t>三江侗族自治县</w:t>
      </w:r>
      <w:r>
        <w:rPr>
          <w:rFonts w:hint="default" w:cs="Times New Roman"/>
          <w:i w:val="0"/>
          <w:color w:val="auto"/>
          <w:kern w:val="0"/>
          <w:sz w:val="21"/>
          <w:szCs w:val="21"/>
          <w:highlight w:val="none"/>
          <w:u w:val="none"/>
          <w:lang w:val="en-US" w:eastAsia="zh-CN" w:bidi="ar"/>
        </w:rPr>
        <w:t>、</w:t>
      </w:r>
      <w:r>
        <w:rPr>
          <w:rFonts w:hint="default" w:ascii="Times New Roman" w:hAnsi="Times New Roman" w:eastAsia="仿宋" w:cs="Times New Roman"/>
          <w:i w:val="0"/>
          <w:color w:val="auto"/>
          <w:kern w:val="0"/>
          <w:sz w:val="21"/>
          <w:szCs w:val="21"/>
          <w:highlight w:val="none"/>
          <w:u w:val="none"/>
          <w:lang w:val="en-US" w:eastAsia="zh-CN" w:bidi="ar"/>
        </w:rPr>
        <w:t>柳东新区</w:t>
      </w:r>
      <w:r>
        <w:rPr>
          <w:rFonts w:hint="default" w:cs="Times New Roman"/>
          <w:i w:val="0"/>
          <w:color w:val="auto"/>
          <w:kern w:val="0"/>
          <w:sz w:val="21"/>
          <w:szCs w:val="21"/>
          <w:highlight w:val="none"/>
          <w:u w:val="none"/>
          <w:lang w:val="en-US" w:eastAsia="zh-CN" w:bidi="ar"/>
        </w:rPr>
        <w:t>、</w:t>
      </w:r>
      <w:r>
        <w:rPr>
          <w:rFonts w:hint="default" w:ascii="Times New Roman" w:hAnsi="Times New Roman" w:eastAsia="仿宋" w:cs="Times New Roman"/>
          <w:i w:val="0"/>
          <w:color w:val="auto"/>
          <w:kern w:val="0"/>
          <w:sz w:val="21"/>
          <w:szCs w:val="21"/>
          <w:highlight w:val="none"/>
          <w:u w:val="none"/>
          <w:lang w:val="en-US" w:eastAsia="zh-CN" w:bidi="ar"/>
        </w:rPr>
        <w:t>北部生态新区</w:t>
      </w:r>
      <w:r>
        <w:rPr>
          <w:rFonts w:hint="default" w:ascii="Times New Roman" w:hAnsi="Times New Roman" w:eastAsia="仿宋" w:cs="Times New Roman"/>
          <w:color w:val="auto"/>
          <w:sz w:val="21"/>
          <w:szCs w:val="21"/>
          <w:highlight w:val="none"/>
          <w:lang w:val="en-US" w:eastAsia="zh-CN"/>
        </w:rPr>
        <w:t>排查无农村黑臭水体</w:t>
      </w:r>
    </w:p>
    <w:bookmarkEnd w:id="143"/>
    <w:p>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center"/>
        <w:textAlignment w:val="auto"/>
        <w:outlineLvl w:val="9"/>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表</w:t>
      </w:r>
      <w:r>
        <w:rPr>
          <w:rFonts w:hint="eastAsia" w:cs="Times New Roman"/>
          <w:b/>
          <w:bCs/>
          <w:color w:val="auto"/>
          <w:highlight w:val="none"/>
          <w:lang w:val="en-US" w:eastAsia="zh-CN"/>
        </w:rPr>
        <w:t>4</w:t>
      </w:r>
      <w:r>
        <w:rPr>
          <w:rFonts w:hint="default" w:ascii="Times New Roman" w:hAnsi="Times New Roman" w:cs="Times New Roman"/>
          <w:b/>
          <w:bCs/>
          <w:color w:val="auto"/>
          <w:highlight w:val="none"/>
          <w:lang w:val="en-US" w:eastAsia="zh-CN"/>
        </w:rPr>
        <w:t xml:space="preserve"> </w:t>
      </w:r>
      <w:r>
        <w:rPr>
          <w:rFonts w:hint="eastAsia" w:cs="Times New Roman"/>
          <w:b/>
          <w:bCs/>
          <w:color w:val="auto"/>
          <w:highlight w:val="none"/>
          <w:lang w:val="en-US" w:eastAsia="zh-CN"/>
        </w:rPr>
        <w:t>柳州市</w:t>
      </w:r>
      <w:r>
        <w:rPr>
          <w:rFonts w:hint="default" w:ascii="Times New Roman" w:hAnsi="Times New Roman" w:cs="Times New Roman"/>
          <w:b/>
          <w:bCs/>
          <w:color w:val="auto"/>
          <w:highlight w:val="none"/>
          <w:lang w:val="en-US" w:eastAsia="zh-CN"/>
        </w:rPr>
        <w:t>农村生活污水优先治理行政村统计表</w:t>
      </w:r>
    </w:p>
    <w:p>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center"/>
        <w:textAlignment w:val="auto"/>
        <w:outlineLvl w:val="9"/>
        <w:rPr>
          <w:rFonts w:hint="default" w:ascii="Times New Roman" w:hAnsi="Times New Roman" w:eastAsia="楷体" w:cs="Times New Roman"/>
          <w:b w:val="0"/>
          <w:color w:val="auto"/>
          <w:sz w:val="32"/>
          <w:szCs w:val="22"/>
          <w:highlight w:val="none"/>
          <w:lang w:val="en-US" w:eastAsia="zh-CN" w:bidi="ar-SA"/>
        </w:rPr>
      </w:pPr>
      <w:r>
        <w:rPr>
          <w:rFonts w:hint="eastAsia" w:cs="Times New Roman"/>
          <w:b/>
          <w:bCs/>
          <w:color w:val="auto"/>
          <w:highlight w:val="none"/>
          <w:lang w:eastAsia="zh-CN"/>
        </w:rPr>
        <w:t>（</w:t>
      </w:r>
      <w:r>
        <w:rPr>
          <w:rFonts w:hint="eastAsia" w:cs="Times New Roman"/>
          <w:b/>
          <w:bCs/>
          <w:color w:val="auto"/>
          <w:highlight w:val="none"/>
          <w:lang w:val="en-US" w:eastAsia="zh-CN"/>
        </w:rPr>
        <w:t>2022-2025年</w:t>
      </w:r>
      <w:r>
        <w:rPr>
          <w:rFonts w:hint="eastAsia" w:cs="Times New Roman"/>
          <w:b/>
          <w:bCs/>
          <w:color w:val="auto"/>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right"/>
        <w:textAlignment w:val="auto"/>
        <w:outlineLvl w:val="9"/>
        <w:rPr>
          <w:rFonts w:hint="default" w:ascii="Times New Roman" w:hAnsi="Times New Roman" w:eastAsia="仿宋" w:cs="Times New Roman"/>
          <w:b/>
          <w:bCs w:val="0"/>
          <w:color w:val="auto"/>
          <w:kern w:val="0"/>
          <w:sz w:val="24"/>
          <w:szCs w:val="24"/>
          <w:highlight w:val="none"/>
          <w:lang w:val="en-US" w:eastAsia="zh-CN"/>
        </w:rPr>
      </w:pPr>
      <w:r>
        <w:rPr>
          <w:rFonts w:hint="default" w:ascii="Times New Roman" w:hAnsi="Times New Roman" w:eastAsia="仿宋" w:cs="Times New Roman"/>
          <w:b/>
          <w:bCs w:val="0"/>
          <w:color w:val="auto"/>
          <w:kern w:val="0"/>
          <w:sz w:val="24"/>
          <w:szCs w:val="24"/>
          <w:highlight w:val="none"/>
          <w:lang w:val="en-US" w:eastAsia="zh-CN"/>
        </w:rPr>
        <w:t>单位：个</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59"/>
        <w:gridCol w:w="963"/>
        <w:gridCol w:w="879"/>
        <w:gridCol w:w="778"/>
        <w:gridCol w:w="1218"/>
        <w:gridCol w:w="952"/>
        <w:gridCol w:w="773"/>
        <w:gridCol w:w="666"/>
        <w:gridCol w:w="771"/>
        <w:gridCol w:w="699"/>
        <w:gridCol w:w="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trPr>
        <w:tc>
          <w:tcPr>
            <w:tcW w:w="45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序号</w:t>
            </w:r>
          </w:p>
        </w:tc>
        <w:tc>
          <w:tcPr>
            <w:tcW w:w="963"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地市</w:t>
            </w:r>
          </w:p>
        </w:tc>
        <w:tc>
          <w:tcPr>
            <w:tcW w:w="2875" w:type="dxa"/>
            <w:gridSpan w:val="3"/>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农村人口密集区</w:t>
            </w:r>
          </w:p>
        </w:tc>
        <w:tc>
          <w:tcPr>
            <w:tcW w:w="952"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农村饮用水水源地</w:t>
            </w:r>
          </w:p>
        </w:tc>
        <w:tc>
          <w:tcPr>
            <w:tcW w:w="773"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农村黑臭水体</w:t>
            </w:r>
          </w:p>
        </w:tc>
        <w:tc>
          <w:tcPr>
            <w:tcW w:w="66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旅游风景区</w:t>
            </w:r>
          </w:p>
        </w:tc>
        <w:tc>
          <w:tcPr>
            <w:tcW w:w="771"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cs="Times New Roman"/>
                <w:b/>
                <w:i w:val="0"/>
                <w:color w:val="auto"/>
                <w:kern w:val="0"/>
                <w:sz w:val="24"/>
                <w:szCs w:val="24"/>
                <w:highlight w:val="none"/>
                <w:u w:val="none"/>
                <w:lang w:val="en-US" w:eastAsia="zh-CN" w:bidi="ar"/>
              </w:rPr>
              <w:t>重点</w:t>
            </w:r>
            <w:r>
              <w:rPr>
                <w:rFonts w:hint="default" w:ascii="Times New Roman" w:hAnsi="Times New Roman" w:eastAsia="仿宋" w:cs="Times New Roman"/>
                <w:b/>
                <w:i w:val="0"/>
                <w:color w:val="auto"/>
                <w:kern w:val="0"/>
                <w:sz w:val="24"/>
                <w:szCs w:val="24"/>
                <w:highlight w:val="none"/>
                <w:u w:val="none"/>
                <w:lang w:val="en-US" w:eastAsia="zh-CN" w:bidi="ar"/>
              </w:rPr>
              <w:t>流域沿岸</w:t>
            </w:r>
          </w:p>
        </w:tc>
        <w:tc>
          <w:tcPr>
            <w:tcW w:w="69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合计</w:t>
            </w:r>
          </w:p>
        </w:tc>
        <w:tc>
          <w:tcPr>
            <w:tcW w:w="882"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扣除重复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3" w:hRule="atLeast"/>
          <w:tblHeader/>
        </w:trPr>
        <w:tc>
          <w:tcPr>
            <w:tcW w:w="459" w:type="dxa"/>
            <w:vMerge w:val="continue"/>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仿宋" w:cs="Times New Roman"/>
                <w:b/>
                <w:i w:val="0"/>
                <w:color w:val="auto"/>
                <w:sz w:val="24"/>
                <w:szCs w:val="24"/>
                <w:highlight w:val="none"/>
                <w:u w:val="none"/>
              </w:rPr>
            </w:pPr>
          </w:p>
        </w:tc>
        <w:tc>
          <w:tcPr>
            <w:tcW w:w="963" w:type="dxa"/>
            <w:vMerge w:val="continue"/>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仿宋" w:cs="Times New Roman"/>
                <w:b/>
                <w:i w:val="0"/>
                <w:color w:val="auto"/>
                <w:sz w:val="24"/>
                <w:szCs w:val="24"/>
                <w:highlight w:val="none"/>
                <w:u w:val="none"/>
              </w:rPr>
            </w:pP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乡镇政府驻地</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中心村</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sz w:val="24"/>
                <w:szCs w:val="24"/>
                <w:highlight w:val="none"/>
                <w:u w:val="none"/>
              </w:rPr>
            </w:pPr>
            <w:r>
              <w:rPr>
                <w:rFonts w:hint="default" w:ascii="Times New Roman" w:hAnsi="Times New Roman" w:eastAsia="仿宋" w:cs="Times New Roman"/>
                <w:b/>
                <w:i w:val="0"/>
                <w:color w:val="auto"/>
                <w:kern w:val="0"/>
                <w:sz w:val="24"/>
                <w:szCs w:val="24"/>
                <w:highlight w:val="none"/>
                <w:u w:val="none"/>
                <w:lang w:val="en-US" w:eastAsia="zh-CN" w:bidi="ar"/>
              </w:rPr>
              <w:t>自然村平均人口≥500人</w:t>
            </w:r>
          </w:p>
        </w:tc>
        <w:tc>
          <w:tcPr>
            <w:tcW w:w="952" w:type="dxa"/>
            <w:vMerge w:val="continue"/>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仿宋" w:cs="Times New Roman"/>
                <w:b/>
                <w:i w:val="0"/>
                <w:color w:val="auto"/>
                <w:sz w:val="24"/>
                <w:szCs w:val="24"/>
                <w:highlight w:val="none"/>
                <w:u w:val="none"/>
              </w:rPr>
            </w:pPr>
          </w:p>
        </w:tc>
        <w:tc>
          <w:tcPr>
            <w:tcW w:w="773" w:type="dxa"/>
            <w:vMerge w:val="continue"/>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仿宋" w:cs="Times New Roman"/>
                <w:b/>
                <w:i w:val="0"/>
                <w:color w:val="auto"/>
                <w:sz w:val="24"/>
                <w:szCs w:val="24"/>
                <w:highlight w:val="none"/>
                <w:u w:val="none"/>
              </w:rPr>
            </w:pPr>
          </w:p>
        </w:tc>
        <w:tc>
          <w:tcPr>
            <w:tcW w:w="666" w:type="dxa"/>
            <w:vMerge w:val="continue"/>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仿宋" w:cs="Times New Roman"/>
                <w:b/>
                <w:i w:val="0"/>
                <w:color w:val="auto"/>
                <w:sz w:val="24"/>
                <w:szCs w:val="24"/>
                <w:highlight w:val="none"/>
                <w:u w:val="none"/>
              </w:rPr>
            </w:pPr>
          </w:p>
        </w:tc>
        <w:tc>
          <w:tcPr>
            <w:tcW w:w="771" w:type="dxa"/>
            <w:vMerge w:val="continue"/>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仿宋" w:cs="Times New Roman"/>
                <w:b/>
                <w:i w:val="0"/>
                <w:color w:val="auto"/>
                <w:sz w:val="24"/>
                <w:szCs w:val="24"/>
                <w:highlight w:val="none"/>
                <w:u w:val="none"/>
              </w:rPr>
            </w:pPr>
          </w:p>
        </w:tc>
        <w:tc>
          <w:tcPr>
            <w:tcW w:w="699" w:type="dxa"/>
            <w:vMerge w:val="continue"/>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仿宋" w:cs="Times New Roman"/>
                <w:b/>
                <w:i w:val="0"/>
                <w:color w:val="auto"/>
                <w:sz w:val="24"/>
                <w:szCs w:val="24"/>
                <w:highlight w:val="none"/>
                <w:u w:val="none"/>
              </w:rPr>
            </w:pPr>
          </w:p>
        </w:tc>
        <w:tc>
          <w:tcPr>
            <w:tcW w:w="882" w:type="dxa"/>
            <w:vMerge w:val="continue"/>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ind w:firstLine="0" w:firstLineChars="0"/>
              <w:jc w:val="center"/>
              <w:rPr>
                <w:rFonts w:hint="default" w:ascii="Times New Roman" w:hAnsi="Times New Roman" w:eastAsia="仿宋" w:cs="Times New Roman"/>
                <w:b/>
                <w:i w:val="0"/>
                <w:color w:val="auto"/>
                <w:sz w:val="24"/>
                <w:szCs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城中区</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柳北区</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15</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6</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22</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3</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柳南区</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10</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8</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lang w:val="en-US"/>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26</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4</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鱼峰区</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7</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5</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柳江区</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4</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18</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33</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7</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64</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6</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柳城县</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25</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12</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40</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7</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鹿寨县</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8</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18</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17</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7</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6</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59</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8</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融安县</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12</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13</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10</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9</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46</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9</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融水苗族自治县</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12</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15</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48</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23</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5</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103</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10</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三江侗族自治县</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13</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11</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80</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13</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5</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122</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11</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柳东新区</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5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12</w:t>
            </w:r>
          </w:p>
        </w:tc>
        <w:tc>
          <w:tcPr>
            <w:tcW w:w="96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北部生态新区</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21</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5</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30</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422"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全市</w:t>
            </w:r>
          </w:p>
        </w:tc>
        <w:tc>
          <w:tcPr>
            <w:tcW w:w="87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57</w:t>
            </w:r>
          </w:p>
        </w:tc>
        <w:tc>
          <w:tcPr>
            <w:tcW w:w="77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124</w:t>
            </w:r>
          </w:p>
        </w:tc>
        <w:tc>
          <w:tcPr>
            <w:tcW w:w="12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237</w:t>
            </w:r>
          </w:p>
        </w:tc>
        <w:tc>
          <w:tcPr>
            <w:tcW w:w="9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77</w:t>
            </w:r>
          </w:p>
        </w:tc>
        <w:tc>
          <w:tcPr>
            <w:tcW w:w="7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6</w:t>
            </w:r>
          </w:p>
        </w:tc>
        <w:tc>
          <w:tcPr>
            <w:tcW w:w="6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22</w:t>
            </w:r>
          </w:p>
        </w:tc>
        <w:tc>
          <w:tcPr>
            <w:tcW w:w="7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0</w:t>
            </w:r>
          </w:p>
        </w:tc>
        <w:tc>
          <w:tcPr>
            <w:tcW w:w="6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523</w:t>
            </w:r>
          </w:p>
        </w:tc>
        <w:tc>
          <w:tcPr>
            <w:tcW w:w="88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center"/>
              <w:rPr>
                <w:rFonts w:hint="default" w:ascii="Times New Roman" w:hAnsi="Times New Roman" w:eastAsia="仿宋" w:cs="Times New Roman"/>
                <w:i w:val="0"/>
                <w:color w:val="auto"/>
                <w:sz w:val="24"/>
                <w:szCs w:val="24"/>
                <w:highlight w:val="none"/>
                <w:u w:val="none"/>
              </w:rPr>
            </w:pPr>
            <w:r>
              <w:rPr>
                <w:rFonts w:hint="eastAsia" w:cs="Times New Roman"/>
                <w:i w:val="0"/>
                <w:color w:val="auto"/>
                <w:kern w:val="0"/>
                <w:sz w:val="24"/>
                <w:szCs w:val="24"/>
                <w:highlight w:val="none"/>
                <w:u w:val="none"/>
                <w:lang w:val="en-US" w:eastAsia="zh-CN" w:bidi="ar"/>
              </w:rPr>
              <w:t>390</w:t>
            </w:r>
          </w:p>
        </w:tc>
      </w:tr>
    </w:tbl>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outlineLvl w:val="9"/>
        <w:rPr>
          <w:rFonts w:hint="default" w:ascii="Times New Roman" w:hAnsi="Times New Roman" w:cs="Times New Roman"/>
          <w:color w:val="auto"/>
          <w:highlight w:val="none"/>
        </w:rPr>
        <w:sectPr>
          <w:headerReference r:id="rId7" w:type="default"/>
          <w:footerReference r:id="rId8" w:type="default"/>
          <w:pgSz w:w="11911" w:h="16838"/>
          <w:pgMar w:top="1440" w:right="1361" w:bottom="1701" w:left="1474" w:header="964" w:footer="1417" w:gutter="0"/>
          <w:pgBorders w:offsetFrom="page">
            <w:top w:val="none" w:sz="0" w:space="0"/>
            <w:left w:val="none" w:sz="0" w:space="0"/>
            <w:bottom w:val="none" w:sz="0" w:space="0"/>
            <w:right w:val="none" w:sz="0" w:space="0"/>
          </w:pgBorders>
          <w:cols w:space="720" w:num="1"/>
          <w:rtlGutter w:val="0"/>
          <w:docGrid w:linePitch="312" w:charSpace="0"/>
        </w:sectPr>
      </w:pPr>
      <w:r>
        <w:rPr>
          <w:rFonts w:hint="default" w:ascii="Times New Roman" w:hAnsi="Times New Roman" w:eastAsia="仿宋" w:cs="Times New Roman"/>
          <w:i w:val="0"/>
          <w:color w:val="auto"/>
          <w:kern w:val="0"/>
          <w:sz w:val="24"/>
          <w:szCs w:val="24"/>
          <w:highlight w:val="none"/>
          <w:u w:val="none"/>
          <w:lang w:val="en-US" w:eastAsia="zh-CN" w:bidi="ar"/>
        </w:rPr>
        <w:t>注：</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乡镇政府所在地农村、中心村、农村人口密集高</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数据来源于2021年各</w:t>
      </w:r>
      <w:r>
        <w:rPr>
          <w:rFonts w:hint="eastAsia" w:cs="Times New Roman"/>
          <w:i w:val="0"/>
          <w:color w:val="auto"/>
          <w:kern w:val="0"/>
          <w:sz w:val="24"/>
          <w:szCs w:val="24"/>
          <w:highlight w:val="none"/>
          <w:u w:val="none"/>
          <w:lang w:val="en-US" w:eastAsia="zh-CN" w:bidi="ar"/>
        </w:rPr>
        <w:t>县区</w:t>
      </w:r>
      <w:r>
        <w:rPr>
          <w:rFonts w:hint="default" w:ascii="Times New Roman" w:hAnsi="Times New Roman" w:eastAsia="仿宋" w:cs="Times New Roman"/>
          <w:i w:val="0"/>
          <w:color w:val="auto"/>
          <w:kern w:val="0"/>
          <w:sz w:val="24"/>
          <w:szCs w:val="24"/>
          <w:highlight w:val="none"/>
          <w:u w:val="none"/>
          <w:lang w:val="en-US" w:eastAsia="zh-CN" w:bidi="ar"/>
        </w:rPr>
        <w:t>填报的《农村生活污水治理基础信息调查表》；</w:t>
      </w:r>
      <w:r>
        <w:rPr>
          <w:rFonts w:hint="default"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农村饮用水水源地</w:t>
      </w:r>
      <w:r>
        <w:rPr>
          <w:rFonts w:hint="default"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数据来源于《广西壮族自治区千吨万人和乡镇级集中式饮用水水源地清单表》；</w:t>
      </w:r>
      <w:r>
        <w:rPr>
          <w:rFonts w:hint="default"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农村黑臭水体</w:t>
      </w:r>
      <w:r>
        <w:rPr>
          <w:rFonts w:hint="default"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数据来源于全国农村黑臭水体采集与监管平台；</w:t>
      </w:r>
      <w:r>
        <w:rPr>
          <w:rFonts w:hint="default"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旅游风景区</w:t>
      </w:r>
      <w:r>
        <w:rPr>
          <w:rFonts w:hint="default"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数据来源于《广西壮族自治区2019年A级旅游景区名录》；</w:t>
      </w:r>
      <w:r>
        <w:rPr>
          <w:rFonts w:hint="default" w:ascii="Times New Roman" w:hAnsi="Times New Roman" w:cs="Times New Roman"/>
          <w:i w:val="0"/>
          <w:color w:val="auto"/>
          <w:kern w:val="0"/>
          <w:sz w:val="24"/>
          <w:szCs w:val="24"/>
          <w:highlight w:val="none"/>
          <w:u w:val="none"/>
          <w:lang w:val="en-US" w:eastAsia="zh-CN" w:bidi="ar"/>
        </w:rPr>
        <w:t>重点</w:t>
      </w:r>
      <w:r>
        <w:rPr>
          <w:rFonts w:hint="default" w:ascii="Times New Roman" w:hAnsi="Times New Roman" w:eastAsia="仿宋" w:cs="Times New Roman"/>
          <w:i w:val="0"/>
          <w:color w:val="auto"/>
          <w:kern w:val="0"/>
          <w:sz w:val="24"/>
          <w:szCs w:val="24"/>
          <w:highlight w:val="none"/>
          <w:u w:val="none"/>
          <w:lang w:val="en-US" w:eastAsia="zh-CN" w:bidi="ar"/>
        </w:rPr>
        <w:t>流域</w:t>
      </w:r>
      <w:r>
        <w:rPr>
          <w:rFonts w:hint="default" w:cs="Times New Roman"/>
          <w:i w:val="0"/>
          <w:color w:val="auto"/>
          <w:kern w:val="0"/>
          <w:sz w:val="24"/>
          <w:szCs w:val="24"/>
          <w:highlight w:val="none"/>
          <w:u w:val="none"/>
          <w:lang w:val="en-US" w:eastAsia="zh-CN" w:bidi="ar"/>
        </w:rPr>
        <w:t>（</w:t>
      </w:r>
      <w:r>
        <w:rPr>
          <w:rFonts w:hint="default" w:ascii="Times New Roman" w:hAnsi="Times New Roman" w:cs="Times New Roman"/>
          <w:b w:val="0"/>
          <w:bCs w:val="0"/>
          <w:color w:val="auto"/>
          <w:sz w:val="24"/>
          <w:szCs w:val="24"/>
          <w:highlight w:val="none"/>
          <w:lang w:bidi="ar"/>
        </w:rPr>
        <w:t>南流江、</w:t>
      </w:r>
      <w:r>
        <w:rPr>
          <w:rFonts w:hint="default" w:cs="Times New Roman"/>
          <w:b w:val="0"/>
          <w:bCs w:val="0"/>
          <w:color w:val="auto"/>
          <w:sz w:val="24"/>
          <w:szCs w:val="24"/>
          <w:highlight w:val="none"/>
          <w:lang w:eastAsia="zh-CN" w:bidi="ar"/>
        </w:rPr>
        <w:t>九洲江</w:t>
      </w:r>
      <w:r>
        <w:rPr>
          <w:rFonts w:hint="default" w:ascii="Times New Roman" w:hAnsi="Times New Roman" w:cs="Times New Roman"/>
          <w:b w:val="0"/>
          <w:bCs w:val="0"/>
          <w:color w:val="auto"/>
          <w:sz w:val="24"/>
          <w:szCs w:val="24"/>
          <w:highlight w:val="none"/>
          <w:lang w:bidi="ar"/>
        </w:rPr>
        <w:t>、钦江、漓江等</w:t>
      </w:r>
      <w:r>
        <w:rPr>
          <w:rFonts w:hint="default" w:cs="Times New Roman"/>
          <w:i w:val="0"/>
          <w:color w:val="auto"/>
          <w:kern w:val="0"/>
          <w:sz w:val="24"/>
          <w:szCs w:val="24"/>
          <w:highlight w:val="none"/>
          <w:u w:val="none"/>
          <w:lang w:val="en-US" w:eastAsia="zh-CN" w:bidi="ar"/>
        </w:rPr>
        <w:t>）</w:t>
      </w:r>
      <w:r>
        <w:rPr>
          <w:rFonts w:hint="default" w:ascii="Times New Roman" w:hAnsi="Times New Roman" w:eastAsia="仿宋" w:cs="Times New Roman"/>
          <w:i w:val="0"/>
          <w:color w:val="auto"/>
          <w:kern w:val="0"/>
          <w:sz w:val="24"/>
          <w:szCs w:val="24"/>
          <w:highlight w:val="none"/>
          <w:u w:val="none"/>
          <w:lang w:val="en-US" w:eastAsia="zh-CN" w:bidi="ar"/>
        </w:rPr>
        <w:t>沿岸数据来源于</w:t>
      </w:r>
      <w:r>
        <w:rPr>
          <w:rFonts w:hint="default" w:cs="Times New Roman"/>
          <w:i w:val="0"/>
          <w:color w:val="auto"/>
          <w:kern w:val="0"/>
          <w:sz w:val="24"/>
          <w:szCs w:val="24"/>
          <w:highlight w:val="none"/>
          <w:u w:val="none"/>
          <w:lang w:val="en-US" w:eastAsia="zh-CN" w:bidi="ar"/>
        </w:rPr>
        <w:t>县区</w:t>
      </w:r>
      <w:r>
        <w:rPr>
          <w:rFonts w:hint="default" w:ascii="Times New Roman" w:hAnsi="Times New Roman" w:eastAsia="仿宋" w:cs="Times New Roman"/>
          <w:i w:val="0"/>
          <w:color w:val="auto"/>
          <w:kern w:val="0"/>
          <w:sz w:val="24"/>
          <w:szCs w:val="24"/>
          <w:highlight w:val="none"/>
          <w:u w:val="none"/>
          <w:lang w:val="en-US" w:eastAsia="zh-CN" w:bidi="ar"/>
        </w:rPr>
        <w:t>上报并实地调查。</w:t>
      </w:r>
    </w:p>
    <w:p>
      <w:pPr>
        <w:spacing w:line="240" w:lineRule="auto"/>
        <w:ind w:firstLine="643" w:firstLineChars="200"/>
        <w:jc w:val="center"/>
        <w:outlineLvl w:val="9"/>
        <w:rPr>
          <w:rFonts w:hint="eastAsia" w:ascii="Times New Roman" w:hAnsi="Times New Roman" w:eastAsia="仿宋" w:cs="Times New Roman"/>
          <w:b/>
          <w:bCs/>
          <w:color w:val="auto"/>
          <w:sz w:val="32"/>
          <w:szCs w:val="22"/>
          <w:highlight w:val="none"/>
          <w:u w:val="none"/>
        </w:rPr>
      </w:pPr>
      <w:r>
        <w:rPr>
          <w:rFonts w:hint="default" w:ascii="Times New Roman" w:hAnsi="Times New Roman" w:cs="Times New Roman"/>
          <w:b/>
          <w:bCs/>
          <w:color w:val="auto"/>
          <w:highlight w:val="none"/>
          <w:lang w:val="en-US" w:eastAsia="zh-CN"/>
        </w:rPr>
        <w:t>表</w:t>
      </w:r>
      <w:r>
        <w:rPr>
          <w:rFonts w:hint="eastAsia" w:cs="Times New Roman"/>
          <w:b/>
          <w:bCs/>
          <w:color w:val="auto"/>
          <w:highlight w:val="none"/>
          <w:lang w:val="en-US" w:eastAsia="zh-CN"/>
        </w:rPr>
        <w:t xml:space="preserve">5  </w:t>
      </w:r>
      <w:r>
        <w:rPr>
          <w:rFonts w:hint="eastAsia" w:ascii="Times New Roman" w:hAnsi="Times New Roman" w:eastAsia="仿宋" w:cs="Times New Roman"/>
          <w:b/>
          <w:bCs/>
          <w:color w:val="auto"/>
          <w:sz w:val="32"/>
          <w:szCs w:val="22"/>
          <w:highlight w:val="none"/>
          <w:u w:val="none"/>
          <w:lang w:eastAsia="zh-CN"/>
        </w:rPr>
        <w:t>柳州市</w:t>
      </w:r>
      <w:r>
        <w:rPr>
          <w:rFonts w:hint="eastAsia" w:ascii="Times New Roman" w:hAnsi="Times New Roman" w:eastAsia="仿宋" w:cs="Times New Roman"/>
          <w:b/>
          <w:bCs/>
          <w:color w:val="auto"/>
          <w:sz w:val="32"/>
          <w:szCs w:val="22"/>
          <w:highlight w:val="none"/>
          <w:u w:val="none"/>
        </w:rPr>
        <w:t>农村黑臭水体治理实施清单表</w:t>
      </w:r>
      <w:r>
        <w:rPr>
          <w:rFonts w:hint="eastAsia" w:cs="Times New Roman"/>
          <w:b/>
          <w:bCs/>
          <w:color w:val="auto"/>
          <w:highlight w:val="none"/>
          <w:lang w:eastAsia="zh-CN"/>
        </w:rPr>
        <w:t>（</w:t>
      </w:r>
      <w:r>
        <w:rPr>
          <w:rFonts w:hint="eastAsia" w:cs="Times New Roman"/>
          <w:b/>
          <w:bCs/>
          <w:color w:val="auto"/>
          <w:highlight w:val="none"/>
          <w:lang w:val="en-US" w:eastAsia="zh-CN"/>
        </w:rPr>
        <w:t>2022-2025年</w:t>
      </w:r>
      <w:r>
        <w:rPr>
          <w:rFonts w:hint="eastAsia" w:cs="Times New Roman"/>
          <w:b/>
          <w:bCs/>
          <w:color w:val="auto"/>
          <w:highlight w:val="none"/>
          <w:lang w:eastAsia="zh-CN"/>
        </w:rPr>
        <w:t>）</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2235"/>
        <w:gridCol w:w="1052"/>
        <w:gridCol w:w="1052"/>
        <w:gridCol w:w="1052"/>
        <w:gridCol w:w="1052"/>
        <w:gridCol w:w="1052"/>
        <w:gridCol w:w="822"/>
        <w:gridCol w:w="1477"/>
        <w:gridCol w:w="856"/>
        <w:gridCol w:w="162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Header/>
        </w:trPr>
        <w:tc>
          <w:tcPr>
            <w:tcW w:w="172"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序号</w:t>
            </w:r>
          </w:p>
        </w:tc>
        <w:tc>
          <w:tcPr>
            <w:tcW w:w="799"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水体编号</w:t>
            </w:r>
          </w:p>
        </w:tc>
        <w:tc>
          <w:tcPr>
            <w:tcW w:w="376"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kern w:val="0"/>
                <w:sz w:val="24"/>
                <w:u w:val="none"/>
                <w:lang w:bidi="ar"/>
              </w:rPr>
            </w:pPr>
            <w:r>
              <w:rPr>
                <w:rFonts w:hint="eastAsia" w:cs="Times New Roman"/>
                <w:b/>
                <w:bCs/>
                <w:color w:val="auto"/>
                <w:kern w:val="0"/>
                <w:sz w:val="21"/>
                <w:szCs w:val="21"/>
                <w:highlight w:val="none"/>
                <w:u w:val="none"/>
                <w:lang w:eastAsia="zh-CN" w:bidi="ar"/>
              </w:rPr>
              <w:t>是否</w:t>
            </w:r>
            <w:r>
              <w:rPr>
                <w:rFonts w:hint="default" w:ascii="Times New Roman" w:hAnsi="Times New Roman" w:eastAsia="仿宋" w:cs="Times New Roman"/>
                <w:b/>
                <w:bCs/>
                <w:color w:val="auto"/>
                <w:kern w:val="0"/>
                <w:sz w:val="21"/>
                <w:szCs w:val="21"/>
                <w:highlight w:val="none"/>
                <w:u w:val="none"/>
                <w:lang w:bidi="ar"/>
              </w:rPr>
              <w:t>纳入国家监管清单</w:t>
            </w:r>
          </w:p>
        </w:tc>
        <w:tc>
          <w:tcPr>
            <w:tcW w:w="376"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治理级别</w:t>
            </w:r>
          </w:p>
        </w:tc>
        <w:tc>
          <w:tcPr>
            <w:tcW w:w="376"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地市</w:t>
            </w:r>
          </w:p>
        </w:tc>
        <w:tc>
          <w:tcPr>
            <w:tcW w:w="376"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县（市、区）</w:t>
            </w:r>
          </w:p>
        </w:tc>
        <w:tc>
          <w:tcPr>
            <w:tcW w:w="376"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行政村</w:t>
            </w:r>
          </w:p>
        </w:tc>
        <w:tc>
          <w:tcPr>
            <w:tcW w:w="294"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kern w:val="0"/>
                <w:sz w:val="24"/>
                <w:u w:val="none"/>
                <w:lang w:bidi="ar"/>
              </w:rPr>
            </w:pPr>
            <w:r>
              <w:rPr>
                <w:rFonts w:hint="default" w:ascii="Times New Roman" w:hAnsi="Times New Roman" w:eastAsia="仿宋" w:cs="Times New Roman"/>
                <w:b/>
                <w:bCs/>
                <w:color w:val="auto"/>
                <w:kern w:val="0"/>
                <w:sz w:val="24"/>
                <w:u w:val="none"/>
                <w:lang w:bidi="ar"/>
              </w:rPr>
              <w:t>水体</w:t>
            </w:r>
          </w:p>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类型</w:t>
            </w:r>
          </w:p>
        </w:tc>
        <w:tc>
          <w:tcPr>
            <w:tcW w:w="528"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涉及的自然村</w:t>
            </w:r>
          </w:p>
        </w:tc>
        <w:tc>
          <w:tcPr>
            <w:tcW w:w="306"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水域面积（m</w:t>
            </w:r>
            <w:r>
              <w:rPr>
                <w:rFonts w:hint="default" w:ascii="Times New Roman" w:hAnsi="Times New Roman" w:eastAsia="仿宋" w:cs="Times New Roman"/>
                <w:b/>
                <w:bCs/>
                <w:color w:val="auto"/>
                <w:kern w:val="0"/>
                <w:sz w:val="24"/>
                <w:u w:val="none"/>
                <w:vertAlign w:val="superscript"/>
                <w:lang w:bidi="ar"/>
              </w:rPr>
              <w:t>2</w:t>
            </w:r>
            <w:r>
              <w:rPr>
                <w:rFonts w:hint="default" w:ascii="Times New Roman" w:hAnsi="Times New Roman" w:eastAsia="仿宋" w:cs="Times New Roman"/>
                <w:b/>
                <w:bCs/>
                <w:color w:val="auto"/>
                <w:kern w:val="0"/>
                <w:sz w:val="24"/>
                <w:u w:val="none"/>
                <w:lang w:bidi="ar"/>
              </w:rPr>
              <w:t>）</w:t>
            </w:r>
          </w:p>
        </w:tc>
        <w:tc>
          <w:tcPr>
            <w:tcW w:w="580"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主要污染问题</w:t>
            </w:r>
          </w:p>
        </w:tc>
        <w:tc>
          <w:tcPr>
            <w:tcW w:w="435"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b/>
                <w:bCs/>
                <w:color w:val="auto"/>
                <w:sz w:val="24"/>
                <w:u w:val="none"/>
              </w:rPr>
            </w:pPr>
            <w:r>
              <w:rPr>
                <w:rFonts w:hint="default" w:ascii="Times New Roman" w:hAnsi="Times New Roman" w:eastAsia="仿宋" w:cs="Times New Roman"/>
                <w:b/>
                <w:bCs/>
                <w:color w:val="auto"/>
                <w:kern w:val="0"/>
                <w:sz w:val="24"/>
                <w:u w:val="none"/>
                <w:lang w:bidi="ar"/>
              </w:rPr>
              <w:t>预计开展治理年份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72" w:type="pct"/>
            <w:noWrap w:val="0"/>
            <w:tcMar>
              <w:top w:w="15" w:type="dxa"/>
              <w:left w:w="15" w:type="dxa"/>
              <w:right w:w="15" w:type="dxa"/>
            </w:tcMar>
            <w:vAlign w:val="center"/>
          </w:tcPr>
          <w:p>
            <w:pPr>
              <w:widowControl/>
              <w:ind w:firstLine="0" w:firstLineChars="0"/>
              <w:jc w:val="center"/>
              <w:textAlignment w:val="center"/>
              <w:rPr>
                <w:rFonts w:hint="eastAsia" w:ascii="Times New Roman" w:hAnsi="Times New Roman" w:eastAsia="宋体" w:cs="Times New Roman"/>
                <w:color w:val="auto"/>
                <w:sz w:val="22"/>
                <w:szCs w:val="22"/>
                <w:highlight w:val="none"/>
                <w:u w:val="none"/>
                <w:lang w:eastAsia="zh-CN"/>
              </w:rPr>
            </w:pPr>
            <w:r>
              <w:rPr>
                <w:rFonts w:hint="eastAsia" w:eastAsia="宋体" w:cs="Times New Roman"/>
                <w:color w:val="auto"/>
                <w:kern w:val="0"/>
                <w:sz w:val="22"/>
                <w:szCs w:val="22"/>
                <w:u w:val="none"/>
                <w:lang w:val="en-US" w:eastAsia="zh-CN" w:bidi="ar"/>
              </w:rPr>
              <w:t>1</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4502230004</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是</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优先处理</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柳州市</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鹿寨县</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新庆村</w:t>
            </w:r>
          </w:p>
        </w:tc>
        <w:tc>
          <w:tcPr>
            <w:tcW w:w="29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沟渠</w:t>
            </w:r>
          </w:p>
        </w:tc>
        <w:tc>
          <w:tcPr>
            <w:tcW w:w="52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新庆屯</w:t>
            </w:r>
          </w:p>
        </w:tc>
        <w:tc>
          <w:tcPr>
            <w:tcW w:w="30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200</w:t>
            </w:r>
          </w:p>
        </w:tc>
        <w:tc>
          <w:tcPr>
            <w:tcW w:w="58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a、g</w:t>
            </w:r>
          </w:p>
        </w:tc>
        <w:tc>
          <w:tcPr>
            <w:tcW w:w="43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72"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宋体" w:cs="Times New Roman"/>
                <w:color w:val="auto"/>
                <w:sz w:val="22"/>
                <w:szCs w:val="22"/>
                <w:u w:val="none"/>
              </w:rPr>
            </w:pPr>
            <w:r>
              <w:rPr>
                <w:rFonts w:hint="default" w:ascii="Times New Roman" w:hAnsi="Times New Roman" w:eastAsia="宋体" w:cs="Times New Roman"/>
                <w:color w:val="auto"/>
                <w:kern w:val="0"/>
                <w:sz w:val="22"/>
                <w:szCs w:val="22"/>
                <w:highlight w:val="none"/>
                <w:u w:val="none"/>
                <w:lang w:bidi="ar"/>
              </w:rPr>
              <w:t>2</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4502230005</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是</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优先处理</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柳州市</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鹿寨县</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新庆村</w:t>
            </w:r>
          </w:p>
        </w:tc>
        <w:tc>
          <w:tcPr>
            <w:tcW w:w="29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沟渠</w:t>
            </w:r>
          </w:p>
        </w:tc>
        <w:tc>
          <w:tcPr>
            <w:tcW w:w="52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新庆屯</w:t>
            </w:r>
          </w:p>
        </w:tc>
        <w:tc>
          <w:tcPr>
            <w:tcW w:w="30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100</w:t>
            </w:r>
          </w:p>
        </w:tc>
        <w:tc>
          <w:tcPr>
            <w:tcW w:w="58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a、g</w:t>
            </w:r>
          </w:p>
        </w:tc>
        <w:tc>
          <w:tcPr>
            <w:tcW w:w="43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u w:val="none"/>
                <w:lang w:bidi="ar"/>
              </w:rPr>
            </w:pPr>
            <w:r>
              <w:rPr>
                <w:rFonts w:hint="default" w:ascii="Times New Roman" w:hAnsi="Times New Roman" w:eastAsia="仿宋" w:cs="Times New Roman"/>
                <w:i w:val="0"/>
                <w:color w:val="auto"/>
                <w:kern w:val="0"/>
                <w:sz w:val="24"/>
                <w:szCs w:val="24"/>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72"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宋体" w:cs="Times New Roman"/>
                <w:color w:val="auto"/>
                <w:sz w:val="22"/>
                <w:szCs w:val="22"/>
                <w:highlight w:val="none"/>
                <w:u w:val="none"/>
              </w:rPr>
            </w:pPr>
            <w:r>
              <w:rPr>
                <w:rFonts w:hint="eastAsia" w:eastAsia="宋体" w:cs="Times New Roman"/>
                <w:color w:val="auto"/>
                <w:kern w:val="0"/>
                <w:sz w:val="22"/>
                <w:szCs w:val="22"/>
                <w:highlight w:val="none"/>
                <w:u w:val="none"/>
                <w:lang w:val="en-US" w:eastAsia="zh-CN" w:bidi="ar"/>
              </w:rPr>
              <w:t>3</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4502230006</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是</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优先处理</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柳州市</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鹿寨县</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新庆村</w:t>
            </w:r>
          </w:p>
        </w:tc>
        <w:tc>
          <w:tcPr>
            <w:tcW w:w="29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塘</w:t>
            </w:r>
          </w:p>
        </w:tc>
        <w:tc>
          <w:tcPr>
            <w:tcW w:w="52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新庆屯</w:t>
            </w:r>
          </w:p>
        </w:tc>
        <w:tc>
          <w:tcPr>
            <w:tcW w:w="30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1500</w:t>
            </w:r>
          </w:p>
        </w:tc>
        <w:tc>
          <w:tcPr>
            <w:tcW w:w="58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g</w:t>
            </w:r>
          </w:p>
        </w:tc>
        <w:tc>
          <w:tcPr>
            <w:tcW w:w="43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72"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宋体" w:cs="Times New Roman"/>
                <w:color w:val="auto"/>
                <w:kern w:val="2"/>
                <w:sz w:val="22"/>
                <w:szCs w:val="22"/>
                <w:u w:val="none"/>
                <w:lang w:val="en-US" w:eastAsia="zh-CN" w:bidi="ar-SA"/>
              </w:rPr>
            </w:pPr>
            <w:r>
              <w:rPr>
                <w:rFonts w:hint="eastAsia" w:eastAsia="宋体" w:cs="Times New Roman"/>
                <w:color w:val="auto"/>
                <w:kern w:val="0"/>
                <w:sz w:val="22"/>
                <w:szCs w:val="22"/>
                <w:u w:val="none"/>
                <w:lang w:val="en-US" w:eastAsia="zh-CN" w:bidi="ar"/>
              </w:rPr>
              <w:t>4</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4502230003</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是</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优先处理</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柳州市</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鹿寨县</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九甫村</w:t>
            </w:r>
          </w:p>
        </w:tc>
        <w:tc>
          <w:tcPr>
            <w:tcW w:w="29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塘</w:t>
            </w:r>
          </w:p>
        </w:tc>
        <w:tc>
          <w:tcPr>
            <w:tcW w:w="52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大邦屯</w:t>
            </w:r>
          </w:p>
        </w:tc>
        <w:tc>
          <w:tcPr>
            <w:tcW w:w="30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1500</w:t>
            </w:r>
          </w:p>
        </w:tc>
        <w:tc>
          <w:tcPr>
            <w:tcW w:w="58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a、g</w:t>
            </w:r>
          </w:p>
        </w:tc>
        <w:tc>
          <w:tcPr>
            <w:tcW w:w="43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72" w:type="pct"/>
            <w:noWrap w:val="0"/>
            <w:tcMar>
              <w:top w:w="15" w:type="dxa"/>
              <w:left w:w="15" w:type="dxa"/>
              <w:right w:w="15" w:type="dxa"/>
            </w:tcMar>
            <w:vAlign w:val="center"/>
          </w:tcPr>
          <w:p>
            <w:pPr>
              <w:widowControl/>
              <w:ind w:firstLine="0" w:firstLineChars="0"/>
              <w:jc w:val="center"/>
              <w:textAlignment w:val="center"/>
              <w:rPr>
                <w:rFonts w:hint="default" w:eastAsia="宋体" w:cs="Times New Roman"/>
                <w:color w:val="auto"/>
                <w:kern w:val="0"/>
                <w:sz w:val="22"/>
                <w:szCs w:val="22"/>
                <w:u w:val="none"/>
                <w:lang w:val="en-US" w:eastAsia="zh-CN" w:bidi="ar"/>
              </w:rPr>
            </w:pPr>
            <w:r>
              <w:rPr>
                <w:rFonts w:hint="eastAsia" w:eastAsia="宋体" w:cs="Times New Roman"/>
                <w:color w:val="auto"/>
                <w:kern w:val="0"/>
                <w:sz w:val="22"/>
                <w:szCs w:val="22"/>
                <w:u w:val="none"/>
                <w:lang w:val="en-US" w:eastAsia="zh-CN" w:bidi="ar"/>
              </w:rPr>
              <w:t>5</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4502040003</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仿宋"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是</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优先处理</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柳州市</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柳南区</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露南村</w:t>
            </w:r>
          </w:p>
        </w:tc>
        <w:tc>
          <w:tcPr>
            <w:tcW w:w="29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塘</w:t>
            </w:r>
          </w:p>
        </w:tc>
        <w:tc>
          <w:tcPr>
            <w:tcW w:w="52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露南村</w:t>
            </w:r>
          </w:p>
        </w:tc>
        <w:tc>
          <w:tcPr>
            <w:tcW w:w="30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1100</w:t>
            </w:r>
          </w:p>
        </w:tc>
        <w:tc>
          <w:tcPr>
            <w:tcW w:w="58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b（10）</w:t>
            </w:r>
          </w:p>
        </w:tc>
        <w:tc>
          <w:tcPr>
            <w:tcW w:w="43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72"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宋体" w:cs="Times New Roman"/>
                <w:color w:val="auto"/>
                <w:kern w:val="2"/>
                <w:sz w:val="22"/>
                <w:szCs w:val="22"/>
                <w:u w:val="none"/>
                <w:lang w:val="en-US" w:eastAsia="zh-CN" w:bidi="ar-SA"/>
              </w:rPr>
            </w:pPr>
            <w:r>
              <w:rPr>
                <w:rFonts w:hint="default" w:ascii="Times New Roman" w:hAnsi="Times New Roman" w:eastAsia="宋体" w:cs="Times New Roman"/>
                <w:color w:val="auto"/>
                <w:kern w:val="0"/>
                <w:sz w:val="22"/>
                <w:szCs w:val="22"/>
                <w:u w:val="none"/>
                <w:lang w:val="en-US" w:eastAsia="zh-CN" w:bidi="ar"/>
              </w:rPr>
              <w:t>6</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4502060001</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否</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正常治理</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柳州市</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柳江区</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盘龙村</w:t>
            </w:r>
          </w:p>
        </w:tc>
        <w:tc>
          <w:tcPr>
            <w:tcW w:w="29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塘</w:t>
            </w:r>
          </w:p>
        </w:tc>
        <w:tc>
          <w:tcPr>
            <w:tcW w:w="52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里高镇长豪村</w:t>
            </w:r>
          </w:p>
        </w:tc>
        <w:tc>
          <w:tcPr>
            <w:tcW w:w="30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200</w:t>
            </w:r>
          </w:p>
        </w:tc>
        <w:tc>
          <w:tcPr>
            <w:tcW w:w="58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a、b（1）</w:t>
            </w:r>
          </w:p>
        </w:tc>
        <w:tc>
          <w:tcPr>
            <w:tcW w:w="43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72" w:type="pct"/>
            <w:noWrap w:val="0"/>
            <w:tcMar>
              <w:top w:w="15" w:type="dxa"/>
              <w:left w:w="15" w:type="dxa"/>
              <w:right w:w="15" w:type="dxa"/>
            </w:tcMar>
            <w:vAlign w:val="center"/>
          </w:tcPr>
          <w:p>
            <w:pPr>
              <w:widowControl/>
              <w:ind w:firstLine="0" w:firstLineChars="0"/>
              <w:jc w:val="center"/>
              <w:textAlignment w:val="center"/>
              <w:rPr>
                <w:rFonts w:hint="default" w:ascii="Times New Roman" w:hAnsi="Times New Roman" w:eastAsia="宋体" w:cs="Times New Roman"/>
                <w:color w:val="auto"/>
                <w:kern w:val="0"/>
                <w:sz w:val="22"/>
                <w:szCs w:val="22"/>
                <w:u w:val="none"/>
                <w:lang w:val="en-US" w:eastAsia="zh-CN" w:bidi="ar"/>
              </w:rPr>
            </w:pPr>
            <w:r>
              <w:rPr>
                <w:rFonts w:hint="eastAsia" w:eastAsia="宋体" w:cs="Times New Roman"/>
                <w:color w:val="auto"/>
                <w:kern w:val="0"/>
                <w:sz w:val="22"/>
                <w:szCs w:val="22"/>
                <w:u w:val="none"/>
                <w:lang w:val="en-US" w:eastAsia="zh-CN" w:bidi="ar"/>
              </w:rPr>
              <w:t>7</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4502040004</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否</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正常治理</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柳州市</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柳南区</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居委</w:t>
            </w:r>
          </w:p>
        </w:tc>
        <w:tc>
          <w:tcPr>
            <w:tcW w:w="294"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沟渠</w:t>
            </w:r>
          </w:p>
        </w:tc>
        <w:tc>
          <w:tcPr>
            <w:tcW w:w="528"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太阳村居委</w:t>
            </w:r>
          </w:p>
        </w:tc>
        <w:tc>
          <w:tcPr>
            <w:tcW w:w="30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500</w:t>
            </w:r>
          </w:p>
        </w:tc>
        <w:tc>
          <w:tcPr>
            <w:tcW w:w="58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a</w:t>
            </w:r>
          </w:p>
        </w:tc>
        <w:tc>
          <w:tcPr>
            <w:tcW w:w="43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202</w:t>
            </w:r>
            <w:r>
              <w:rPr>
                <w:rFonts w:hint="eastAsia" w:cs="Times New Roman"/>
                <w:i w:val="0"/>
                <w:color w:val="auto"/>
                <w:kern w:val="0"/>
                <w:sz w:val="24"/>
                <w:szCs w:val="24"/>
                <w:u w:val="none"/>
                <w:lang w:val="en-US" w:eastAsia="zh-CN" w:bidi="ar"/>
              </w:rPr>
              <w:t>4</w:t>
            </w:r>
            <w:r>
              <w:rPr>
                <w:rFonts w:hint="default" w:ascii="Times New Roman" w:hAnsi="Times New Roman" w:eastAsia="仿宋" w:cs="Times New Roman"/>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72" w:type="pct"/>
            <w:noWrap w:val="0"/>
            <w:tcMar>
              <w:top w:w="15" w:type="dxa"/>
              <w:left w:w="15" w:type="dxa"/>
              <w:right w:w="15" w:type="dxa"/>
            </w:tcMar>
            <w:vAlign w:val="center"/>
          </w:tcPr>
          <w:p>
            <w:pPr>
              <w:widowControl/>
              <w:ind w:firstLine="0" w:firstLineChars="0"/>
              <w:jc w:val="center"/>
              <w:textAlignment w:val="center"/>
              <w:rPr>
                <w:rFonts w:hint="eastAsia" w:eastAsia="宋体" w:cs="Times New Roman"/>
                <w:color w:val="auto"/>
                <w:kern w:val="0"/>
                <w:sz w:val="22"/>
                <w:szCs w:val="22"/>
                <w:u w:val="none"/>
                <w:lang w:val="en-US" w:eastAsia="zh-CN" w:bidi="ar"/>
              </w:rPr>
            </w:pPr>
            <w:r>
              <w:rPr>
                <w:rFonts w:hint="eastAsia" w:eastAsia="宋体" w:cs="Times New Roman"/>
                <w:color w:val="auto"/>
                <w:kern w:val="0"/>
                <w:sz w:val="22"/>
                <w:szCs w:val="22"/>
                <w:u w:val="none"/>
                <w:lang w:val="en-US" w:eastAsia="zh-CN" w:bidi="ar"/>
              </w:rPr>
              <w:t>８</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4502230002</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否</w:t>
            </w:r>
          </w:p>
        </w:tc>
        <w:tc>
          <w:tcPr>
            <w:tcW w:w="376" w:type="pct"/>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正常治理</w:t>
            </w:r>
          </w:p>
        </w:tc>
        <w:tc>
          <w:tcPr>
            <w:tcW w:w="376" w:type="pct"/>
            <w:noWrap w:val="0"/>
            <w:tcMar>
              <w:top w:w="15" w:type="dxa"/>
              <w:left w:w="15" w:type="dxa"/>
              <w:right w:w="15" w:type="dxa"/>
            </w:tcMar>
            <w:vAlign w:val="center"/>
          </w:tcPr>
          <w:p>
            <w:pPr>
              <w:keepNext w:val="0"/>
              <w:keepLines w:val="0"/>
              <w:widowControl/>
              <w:suppressLineNumbers w:val="0"/>
              <w:ind w:left="0" w:leftChars="0" w:firstLine="184" w:firstLineChars="77"/>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柳州市</w:t>
            </w:r>
          </w:p>
        </w:tc>
        <w:tc>
          <w:tcPr>
            <w:tcW w:w="376" w:type="pct"/>
            <w:noWrap w:val="0"/>
            <w:tcMar>
              <w:top w:w="15" w:type="dxa"/>
              <w:left w:w="15" w:type="dxa"/>
              <w:right w:w="15" w:type="dxa"/>
            </w:tcMar>
            <w:vAlign w:val="center"/>
          </w:tcPr>
          <w:p>
            <w:pPr>
              <w:keepNext w:val="0"/>
              <w:keepLines w:val="0"/>
              <w:widowControl/>
              <w:suppressLineNumbers w:val="0"/>
              <w:ind w:left="0" w:leftChars="0" w:firstLine="240" w:firstLineChars="10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鹿寨县</w:t>
            </w:r>
          </w:p>
        </w:tc>
        <w:tc>
          <w:tcPr>
            <w:tcW w:w="376" w:type="pct"/>
            <w:noWrap w:val="0"/>
            <w:tcMar>
              <w:top w:w="15" w:type="dxa"/>
              <w:left w:w="15" w:type="dxa"/>
              <w:right w:w="15" w:type="dxa"/>
            </w:tcMar>
            <w:vAlign w:val="center"/>
          </w:tcPr>
          <w:p>
            <w:pPr>
              <w:keepNext w:val="0"/>
              <w:keepLines w:val="0"/>
              <w:widowControl/>
              <w:suppressLineNumbers w:val="0"/>
              <w:ind w:left="0" w:leftChars="0" w:firstLine="240" w:firstLineChars="10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九甫村</w:t>
            </w:r>
          </w:p>
        </w:tc>
        <w:tc>
          <w:tcPr>
            <w:tcW w:w="294" w:type="pct"/>
            <w:noWrap w:val="0"/>
            <w:tcMar>
              <w:top w:w="15" w:type="dxa"/>
              <w:left w:w="15" w:type="dxa"/>
              <w:right w:w="15" w:type="dxa"/>
            </w:tcMar>
            <w:vAlign w:val="center"/>
          </w:tcPr>
          <w:p>
            <w:pPr>
              <w:keepNext w:val="0"/>
              <w:keepLines w:val="0"/>
              <w:widowControl/>
              <w:suppressLineNumbers w:val="0"/>
              <w:ind w:left="0" w:leftChars="0" w:firstLine="316" w:firstLineChars="132"/>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塘</w:t>
            </w:r>
          </w:p>
        </w:tc>
        <w:tc>
          <w:tcPr>
            <w:tcW w:w="528" w:type="pct"/>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瓦窑坪屯</w:t>
            </w:r>
          </w:p>
        </w:tc>
        <w:tc>
          <w:tcPr>
            <w:tcW w:w="306" w:type="pct"/>
            <w:noWrap w:val="0"/>
            <w:tcMar>
              <w:top w:w="15" w:type="dxa"/>
              <w:left w:w="15" w:type="dxa"/>
              <w:right w:w="15" w:type="dxa"/>
            </w:tcMar>
            <w:vAlign w:val="center"/>
          </w:tcPr>
          <w:p>
            <w:pPr>
              <w:keepNext w:val="0"/>
              <w:keepLines w:val="0"/>
              <w:widowControl/>
              <w:suppressLineNumbers w:val="0"/>
              <w:ind w:left="0" w:leftChars="0" w:firstLine="350" w:firstLineChars="146"/>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w:t>
            </w:r>
          </w:p>
        </w:tc>
        <w:tc>
          <w:tcPr>
            <w:tcW w:w="580" w:type="pct"/>
            <w:noWrap w:val="0"/>
            <w:tcMar>
              <w:top w:w="15" w:type="dxa"/>
              <w:left w:w="15" w:type="dxa"/>
              <w:right w:w="15" w:type="dxa"/>
            </w:tcMar>
            <w:vAlign w:val="center"/>
          </w:tcPr>
          <w:p>
            <w:pPr>
              <w:keepNext w:val="0"/>
              <w:keepLines w:val="0"/>
              <w:widowControl/>
              <w:suppressLineNumbers w:val="0"/>
              <w:ind w:left="0" w:leftChars="0" w:firstLine="664" w:firstLineChars="277"/>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a、g</w:t>
            </w:r>
          </w:p>
        </w:tc>
        <w:tc>
          <w:tcPr>
            <w:tcW w:w="435" w:type="pct"/>
            <w:noWrap w:val="0"/>
            <w:tcMar>
              <w:top w:w="15" w:type="dxa"/>
              <w:left w:w="15" w:type="dxa"/>
              <w:right w:w="15" w:type="dxa"/>
            </w:tcMar>
            <w:vAlign w:val="center"/>
          </w:tcPr>
          <w:p>
            <w:pPr>
              <w:keepNext w:val="0"/>
              <w:keepLines w:val="0"/>
              <w:widowControl/>
              <w:suppressLineNumbers w:val="0"/>
              <w:ind w:left="0" w:leftChars="0" w:firstLine="240" w:firstLineChars="100"/>
              <w:jc w:val="left"/>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2025</w:t>
            </w:r>
            <w:r>
              <w:rPr>
                <w:rFonts w:hint="default" w:ascii="仿宋" w:hAnsi="仿宋" w:eastAsia="仿宋" w:cs="仿宋"/>
                <w:i w:val="0"/>
                <w:color w:val="000000"/>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72" w:type="pct"/>
            <w:noWrap w:val="0"/>
            <w:tcMar>
              <w:top w:w="15" w:type="dxa"/>
              <w:left w:w="15" w:type="dxa"/>
              <w:right w:w="15" w:type="dxa"/>
            </w:tcMar>
            <w:vAlign w:val="center"/>
          </w:tcPr>
          <w:p>
            <w:pPr>
              <w:widowControl/>
              <w:ind w:firstLine="0" w:firstLineChars="0"/>
              <w:jc w:val="center"/>
              <w:textAlignment w:val="center"/>
              <w:rPr>
                <w:rFonts w:hint="eastAsia" w:eastAsia="宋体" w:cs="Times New Roman"/>
                <w:color w:val="auto"/>
                <w:kern w:val="0"/>
                <w:sz w:val="22"/>
                <w:szCs w:val="22"/>
                <w:u w:val="none"/>
                <w:lang w:val="en-US" w:eastAsia="zh-CN" w:bidi="ar"/>
              </w:rPr>
            </w:pPr>
            <w:r>
              <w:rPr>
                <w:rFonts w:hint="eastAsia" w:eastAsia="宋体" w:cs="Times New Roman"/>
                <w:color w:val="auto"/>
                <w:kern w:val="0"/>
                <w:sz w:val="22"/>
                <w:szCs w:val="22"/>
                <w:u w:val="none"/>
                <w:lang w:val="en-US" w:eastAsia="zh-CN" w:bidi="ar"/>
              </w:rPr>
              <w:t>９</w:t>
            </w:r>
          </w:p>
        </w:tc>
        <w:tc>
          <w:tcPr>
            <w:tcW w:w="79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color w:val="auto"/>
                <w:kern w:val="0"/>
                <w:sz w:val="24"/>
                <w:szCs w:val="24"/>
                <w:highlight w:val="none"/>
                <w:u w:val="none"/>
                <w:lang w:val="en-US" w:eastAsia="zh-CN" w:bidi="ar"/>
              </w:rPr>
              <w:t>4502230001</w:t>
            </w:r>
          </w:p>
        </w:tc>
        <w:tc>
          <w:tcPr>
            <w:tcW w:w="376"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仿宋"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否</w:t>
            </w:r>
          </w:p>
        </w:tc>
        <w:tc>
          <w:tcPr>
            <w:tcW w:w="376" w:type="pct"/>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正常治理</w:t>
            </w:r>
          </w:p>
        </w:tc>
        <w:tc>
          <w:tcPr>
            <w:tcW w:w="376" w:type="pct"/>
            <w:noWrap w:val="0"/>
            <w:tcMar>
              <w:top w:w="15" w:type="dxa"/>
              <w:left w:w="15" w:type="dxa"/>
              <w:right w:w="15" w:type="dxa"/>
            </w:tcMar>
            <w:vAlign w:val="center"/>
          </w:tcPr>
          <w:p>
            <w:pPr>
              <w:keepNext w:val="0"/>
              <w:keepLines w:val="0"/>
              <w:widowControl/>
              <w:suppressLineNumbers w:val="0"/>
              <w:ind w:left="0" w:leftChars="0" w:firstLine="189" w:firstLineChars="79"/>
              <w:jc w:val="both"/>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柳州市</w:t>
            </w:r>
          </w:p>
        </w:tc>
        <w:tc>
          <w:tcPr>
            <w:tcW w:w="376" w:type="pct"/>
            <w:noWrap w:val="0"/>
            <w:tcMar>
              <w:top w:w="15" w:type="dxa"/>
              <w:left w:w="15" w:type="dxa"/>
              <w:right w:w="15" w:type="dxa"/>
            </w:tcMar>
            <w:vAlign w:val="center"/>
          </w:tcPr>
          <w:p>
            <w:pPr>
              <w:keepNext w:val="0"/>
              <w:keepLines w:val="0"/>
              <w:widowControl/>
              <w:suppressLineNumbers w:val="0"/>
              <w:ind w:left="0" w:leftChars="0" w:firstLine="240" w:firstLineChars="100"/>
              <w:jc w:val="both"/>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鹿寨县</w:t>
            </w:r>
          </w:p>
        </w:tc>
        <w:tc>
          <w:tcPr>
            <w:tcW w:w="376" w:type="pct"/>
            <w:noWrap w:val="0"/>
            <w:tcMar>
              <w:top w:w="15" w:type="dxa"/>
              <w:left w:w="15" w:type="dxa"/>
              <w:right w:w="15" w:type="dxa"/>
            </w:tcMar>
            <w:vAlign w:val="center"/>
          </w:tcPr>
          <w:p>
            <w:pPr>
              <w:keepNext w:val="0"/>
              <w:keepLines w:val="0"/>
              <w:widowControl/>
              <w:suppressLineNumbers w:val="0"/>
              <w:ind w:left="0" w:leftChars="0" w:firstLine="240" w:firstLineChars="100"/>
              <w:jc w:val="both"/>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北里村</w:t>
            </w:r>
          </w:p>
        </w:tc>
        <w:tc>
          <w:tcPr>
            <w:tcW w:w="294" w:type="pct"/>
            <w:noWrap w:val="0"/>
            <w:tcMar>
              <w:top w:w="15" w:type="dxa"/>
              <w:left w:w="15" w:type="dxa"/>
              <w:right w:w="15" w:type="dxa"/>
            </w:tcMar>
            <w:vAlign w:val="center"/>
          </w:tcPr>
          <w:p>
            <w:pPr>
              <w:keepNext w:val="0"/>
              <w:keepLines w:val="0"/>
              <w:widowControl/>
              <w:suppressLineNumbers w:val="0"/>
              <w:ind w:left="0" w:leftChars="0" w:firstLine="350" w:firstLineChars="146"/>
              <w:jc w:val="both"/>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塘</w:t>
            </w:r>
          </w:p>
        </w:tc>
        <w:tc>
          <w:tcPr>
            <w:tcW w:w="528" w:type="pct"/>
            <w:noWrap w:val="0"/>
            <w:tcMar>
              <w:top w:w="15" w:type="dxa"/>
              <w:left w:w="15" w:type="dxa"/>
              <w:right w:w="15" w:type="dxa"/>
            </w:tcMar>
            <w:vAlign w:val="center"/>
          </w:tcPr>
          <w:p>
            <w:pPr>
              <w:keepNext w:val="0"/>
              <w:keepLines w:val="0"/>
              <w:widowControl/>
              <w:suppressLineNumbers w:val="0"/>
              <w:ind w:left="0" w:leftChars="0" w:firstLine="350" w:firstLineChars="146"/>
              <w:jc w:val="both"/>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北里屯</w:t>
            </w:r>
          </w:p>
        </w:tc>
        <w:tc>
          <w:tcPr>
            <w:tcW w:w="306" w:type="pct"/>
            <w:noWrap w:val="0"/>
            <w:tcMar>
              <w:top w:w="15" w:type="dxa"/>
              <w:left w:w="15" w:type="dxa"/>
              <w:right w:w="15" w:type="dxa"/>
            </w:tcMar>
            <w:vAlign w:val="center"/>
          </w:tcPr>
          <w:p>
            <w:pPr>
              <w:keepNext w:val="0"/>
              <w:keepLines w:val="0"/>
              <w:widowControl/>
              <w:suppressLineNumbers w:val="0"/>
              <w:ind w:left="0" w:leftChars="0" w:firstLine="350" w:firstLineChars="146"/>
              <w:jc w:val="both"/>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400</w:t>
            </w:r>
          </w:p>
        </w:tc>
        <w:tc>
          <w:tcPr>
            <w:tcW w:w="580" w:type="pct"/>
            <w:noWrap w:val="0"/>
            <w:tcMar>
              <w:top w:w="15" w:type="dxa"/>
              <w:left w:w="15" w:type="dxa"/>
              <w:right w:w="15" w:type="dxa"/>
            </w:tcMar>
            <w:vAlign w:val="center"/>
          </w:tcPr>
          <w:p>
            <w:pPr>
              <w:keepNext w:val="0"/>
              <w:keepLines w:val="0"/>
              <w:widowControl/>
              <w:suppressLineNumbers w:val="0"/>
              <w:ind w:left="0" w:leftChars="0" w:firstLine="720" w:firstLineChars="300"/>
              <w:jc w:val="both"/>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a、g</w:t>
            </w:r>
          </w:p>
        </w:tc>
        <w:tc>
          <w:tcPr>
            <w:tcW w:w="435" w:type="pct"/>
            <w:noWrap w:val="0"/>
            <w:tcMar>
              <w:top w:w="15" w:type="dxa"/>
              <w:left w:w="15" w:type="dxa"/>
              <w:right w:w="15" w:type="dxa"/>
            </w:tcMar>
            <w:vAlign w:val="center"/>
          </w:tcPr>
          <w:p>
            <w:pPr>
              <w:keepNext w:val="0"/>
              <w:keepLines w:val="0"/>
              <w:widowControl/>
              <w:suppressLineNumbers w:val="0"/>
              <w:ind w:left="0" w:leftChars="0" w:firstLine="240" w:firstLineChars="100"/>
              <w:jc w:val="left"/>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2025</w:t>
            </w:r>
            <w:r>
              <w:rPr>
                <w:rFonts w:hint="default" w:ascii="仿宋" w:hAnsi="仿宋" w:eastAsia="仿宋" w:cs="仿宋"/>
                <w:i w:val="0"/>
                <w:color w:val="000000"/>
                <w:kern w:val="0"/>
                <w:sz w:val="24"/>
                <w:szCs w:val="24"/>
                <w:highlight w:val="none"/>
                <w:u w:val="none"/>
                <w:lang w:val="en-US" w:eastAsia="zh-CN" w:bidi="ar"/>
              </w:rPr>
              <w:t>年</w:t>
            </w:r>
          </w:p>
        </w:tc>
      </w:tr>
    </w:tbl>
    <w:p>
      <w:pPr>
        <w:spacing w:line="240" w:lineRule="auto"/>
        <w:ind w:firstLine="0" w:firstLineChars="0"/>
        <w:outlineLvl w:val="9"/>
        <w:rPr>
          <w:color w:val="auto"/>
        </w:rPr>
      </w:pPr>
      <w:r>
        <w:rPr>
          <w:rFonts w:hint="default" w:ascii="Times New Roman" w:hAnsi="Times New Roman" w:cs="Times New Roman"/>
          <w:color w:val="auto"/>
          <w:sz w:val="24"/>
          <w:szCs w:val="24"/>
          <w:highlight w:val="none"/>
          <w:u w:val="none"/>
          <w:lang w:bidi="ar"/>
        </w:rPr>
        <w:t>主要污染问题包括：a.农村生活污水污染；b.畜禽养殖污染（规模）；c.水产养殖污染；d.种植业污染；e.企业排污；f.生活垃圾和生产废弃物污染；g.底泥淤积；h.农厕粪污污染；i其他污染问题等。</w:t>
      </w:r>
    </w:p>
    <w:sectPr>
      <w:headerReference r:id="rId9" w:type="default"/>
      <w:footerReference r:id="rId10" w:type="default"/>
      <w:pgSz w:w="16783" w:h="11850" w:orient="landscape"/>
      <w:pgMar w:top="1417" w:right="1417" w:bottom="1417" w:left="141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ource Han Sans Bold">
    <w:altName w:val="宋体"/>
    <w:panose1 w:val="00000000000000000000"/>
    <w:charset w:val="00"/>
    <w:family w:val="swiss"/>
    <w:pitch w:val="default"/>
    <w:sig w:usb0="00000000" w:usb1="00000000" w:usb2="00000000" w:usb3="00000000" w:csb0="00040001" w:csb1="00000000"/>
  </w:font>
  <w:font w:name="华文中宋">
    <w:altName w:val="宋体"/>
    <w:panose1 w:val="02010600040101010101"/>
    <w:charset w:val="00"/>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等线">
    <w:altName w:val="宋体"/>
    <w:panose1 w:val="02010600030101010101"/>
    <w:charset w:val="00"/>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ind w:firstLine="420"/>
                            <w:rPr>
                              <w:rFonts w:hint="default"/>
                              <w:sz w:val="21"/>
                              <w:szCs w:val="21"/>
                            </w:rPr>
                          </w:pPr>
                          <w:r>
                            <w:rPr>
                              <w:sz w:val="21"/>
                              <w:szCs w:val="21"/>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r>
                            <w:rPr>
                              <w:sz w:val="21"/>
                              <w:szCs w:val="21"/>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pPr>
                      <w:pStyle w:val="10"/>
                      <w:ind w:firstLine="420"/>
                      <w:rPr>
                        <w:rFonts w:hint="default"/>
                        <w:sz w:val="21"/>
                        <w:szCs w:val="21"/>
                      </w:rPr>
                    </w:pPr>
                    <w:r>
                      <w:rPr>
                        <w:sz w:val="21"/>
                        <w:szCs w:val="21"/>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r>
                      <w:rPr>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ind w:firstLine="420"/>
                            <w:rPr>
                              <w:rFonts w:hint="default"/>
                              <w:sz w:val="21"/>
                              <w:szCs w:val="21"/>
                            </w:rPr>
                          </w:pPr>
                          <w:r>
                            <w:rPr>
                              <w:sz w:val="21"/>
                              <w:szCs w:val="21"/>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r>
                            <w:rPr>
                              <w:sz w:val="21"/>
                              <w:szCs w:val="21"/>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10"/>
                      <w:ind w:firstLine="420"/>
                      <w:rPr>
                        <w:rFonts w:hint="default"/>
                        <w:sz w:val="21"/>
                        <w:szCs w:val="21"/>
                      </w:rPr>
                    </w:pPr>
                    <w:r>
                      <w:rPr>
                        <w:sz w:val="21"/>
                        <w:szCs w:val="21"/>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r>
                      <w:rPr>
                        <w:sz w:val="21"/>
                        <w:szCs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ind w:firstLine="420"/>
                            <w:rPr>
                              <w:rFonts w:hint="default"/>
                              <w:sz w:val="21"/>
                              <w:szCs w:val="21"/>
                            </w:rPr>
                          </w:pPr>
                          <w:r>
                            <w:rPr>
                              <w:sz w:val="21"/>
                              <w:szCs w:val="21"/>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r>
                            <w:rPr>
                              <w:sz w:val="21"/>
                              <w:szCs w:val="21"/>
                            </w:rPr>
                            <w:t>—</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7bts+cBAADH&#10;AwAADgAAAAAAAAABACAAAAAfAQAAZHJzL2Uyb0RvYy54bWxQSwUGAAAAAAYABgBZAQAAeAUAAAAA&#10;">
              <v:fill on="f" focussize="0,0"/>
              <v:stroke on="f" weight="0.5pt"/>
              <v:imagedata o:title=""/>
              <o:lock v:ext="edit" aspectratio="f"/>
              <v:textbox inset="0mm,0mm,0mm,0mm" style="mso-fit-shape-to-text:t;">
                <w:txbxContent>
                  <w:p>
                    <w:pPr>
                      <w:pStyle w:val="10"/>
                      <w:ind w:firstLine="420"/>
                      <w:rPr>
                        <w:rFonts w:hint="default"/>
                        <w:sz w:val="21"/>
                        <w:szCs w:val="21"/>
                      </w:rPr>
                    </w:pPr>
                    <w:r>
                      <w:rPr>
                        <w:sz w:val="21"/>
                        <w:szCs w:val="21"/>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r>
                      <w:rPr>
                        <w:sz w:val="21"/>
                        <w:szCs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HorizontalSpacing w:val="32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773C"/>
    <w:rsid w:val="00922763"/>
    <w:rsid w:val="00940EA2"/>
    <w:rsid w:val="012A770B"/>
    <w:rsid w:val="013D36F8"/>
    <w:rsid w:val="015A001C"/>
    <w:rsid w:val="01C401B4"/>
    <w:rsid w:val="01EE278F"/>
    <w:rsid w:val="02570112"/>
    <w:rsid w:val="03022E4A"/>
    <w:rsid w:val="031C0410"/>
    <w:rsid w:val="034273F4"/>
    <w:rsid w:val="038743FE"/>
    <w:rsid w:val="04B3572D"/>
    <w:rsid w:val="04CB2742"/>
    <w:rsid w:val="04E60F96"/>
    <w:rsid w:val="05637870"/>
    <w:rsid w:val="0664285F"/>
    <w:rsid w:val="0672169B"/>
    <w:rsid w:val="07173AAF"/>
    <w:rsid w:val="07853F80"/>
    <w:rsid w:val="07B5092C"/>
    <w:rsid w:val="081535C4"/>
    <w:rsid w:val="083B58E9"/>
    <w:rsid w:val="08622194"/>
    <w:rsid w:val="08846E9B"/>
    <w:rsid w:val="08A3793F"/>
    <w:rsid w:val="0964051E"/>
    <w:rsid w:val="099A1303"/>
    <w:rsid w:val="09E30924"/>
    <w:rsid w:val="0AAA1094"/>
    <w:rsid w:val="0AE5574B"/>
    <w:rsid w:val="0C216531"/>
    <w:rsid w:val="0C3B3260"/>
    <w:rsid w:val="0C713745"/>
    <w:rsid w:val="0C796AB6"/>
    <w:rsid w:val="0CDD42F8"/>
    <w:rsid w:val="0DA3673D"/>
    <w:rsid w:val="0E0E1EB3"/>
    <w:rsid w:val="0F392649"/>
    <w:rsid w:val="0F852181"/>
    <w:rsid w:val="103771F5"/>
    <w:rsid w:val="115B3D53"/>
    <w:rsid w:val="11CE09A4"/>
    <w:rsid w:val="11D3330A"/>
    <w:rsid w:val="12194AD0"/>
    <w:rsid w:val="124929F7"/>
    <w:rsid w:val="12574FC5"/>
    <w:rsid w:val="12AE1F8F"/>
    <w:rsid w:val="132D3B80"/>
    <w:rsid w:val="133A1D84"/>
    <w:rsid w:val="13620342"/>
    <w:rsid w:val="13D664E3"/>
    <w:rsid w:val="14ED6904"/>
    <w:rsid w:val="15896F60"/>
    <w:rsid w:val="15DA1B48"/>
    <w:rsid w:val="16430B50"/>
    <w:rsid w:val="16704441"/>
    <w:rsid w:val="17534B7F"/>
    <w:rsid w:val="17EC6151"/>
    <w:rsid w:val="18867720"/>
    <w:rsid w:val="18CA0B59"/>
    <w:rsid w:val="19AB5AFE"/>
    <w:rsid w:val="19EB1116"/>
    <w:rsid w:val="1A451396"/>
    <w:rsid w:val="1A7901F6"/>
    <w:rsid w:val="1AF83375"/>
    <w:rsid w:val="1B227E6D"/>
    <w:rsid w:val="1B2D7A7D"/>
    <w:rsid w:val="1BB8201B"/>
    <w:rsid w:val="1BEC6ACD"/>
    <w:rsid w:val="1BFD1B47"/>
    <w:rsid w:val="1C080A53"/>
    <w:rsid w:val="1D3A7D66"/>
    <w:rsid w:val="1E7BE4D3"/>
    <w:rsid w:val="1EAB625C"/>
    <w:rsid w:val="1EDFC723"/>
    <w:rsid w:val="1FC02622"/>
    <w:rsid w:val="1FDFE9D2"/>
    <w:rsid w:val="2053508D"/>
    <w:rsid w:val="20540B5E"/>
    <w:rsid w:val="2193454B"/>
    <w:rsid w:val="22763E4E"/>
    <w:rsid w:val="2322782D"/>
    <w:rsid w:val="24044204"/>
    <w:rsid w:val="246F5FAA"/>
    <w:rsid w:val="24E54A23"/>
    <w:rsid w:val="260B0EFD"/>
    <w:rsid w:val="263A622C"/>
    <w:rsid w:val="263F28F8"/>
    <w:rsid w:val="26B72B2E"/>
    <w:rsid w:val="275F203B"/>
    <w:rsid w:val="27670680"/>
    <w:rsid w:val="278734F0"/>
    <w:rsid w:val="27E767DB"/>
    <w:rsid w:val="27FE83F7"/>
    <w:rsid w:val="284203FC"/>
    <w:rsid w:val="284D56E5"/>
    <w:rsid w:val="298C260A"/>
    <w:rsid w:val="2A272D92"/>
    <w:rsid w:val="2A9E0F90"/>
    <w:rsid w:val="2A9F5E9E"/>
    <w:rsid w:val="2B7F1108"/>
    <w:rsid w:val="2B992211"/>
    <w:rsid w:val="2BC0487C"/>
    <w:rsid w:val="2C5165AB"/>
    <w:rsid w:val="2C623C14"/>
    <w:rsid w:val="2C835E53"/>
    <w:rsid w:val="2CBE659F"/>
    <w:rsid w:val="2CFE50AC"/>
    <w:rsid w:val="2D120146"/>
    <w:rsid w:val="2D3E6ABD"/>
    <w:rsid w:val="2D7C5123"/>
    <w:rsid w:val="2D7D42EF"/>
    <w:rsid w:val="2DBB2D75"/>
    <w:rsid w:val="2DBE625D"/>
    <w:rsid w:val="2F9F1B08"/>
    <w:rsid w:val="2FC355BE"/>
    <w:rsid w:val="2FCD2D59"/>
    <w:rsid w:val="2FDB6F49"/>
    <w:rsid w:val="2FF43E07"/>
    <w:rsid w:val="2FF572FF"/>
    <w:rsid w:val="306D2493"/>
    <w:rsid w:val="316C6A47"/>
    <w:rsid w:val="31C979D0"/>
    <w:rsid w:val="32E52DB7"/>
    <w:rsid w:val="32FA304A"/>
    <w:rsid w:val="32FB01FE"/>
    <w:rsid w:val="33561693"/>
    <w:rsid w:val="33B611BA"/>
    <w:rsid w:val="345B4A51"/>
    <w:rsid w:val="34883319"/>
    <w:rsid w:val="35D715A4"/>
    <w:rsid w:val="35D7216D"/>
    <w:rsid w:val="379E3816"/>
    <w:rsid w:val="37F35136"/>
    <w:rsid w:val="383413EE"/>
    <w:rsid w:val="39356BF5"/>
    <w:rsid w:val="398C2A4F"/>
    <w:rsid w:val="398F6523"/>
    <w:rsid w:val="39AC2C76"/>
    <w:rsid w:val="39F9125C"/>
    <w:rsid w:val="3A37665B"/>
    <w:rsid w:val="3AB44AB4"/>
    <w:rsid w:val="3B990543"/>
    <w:rsid w:val="3BDF4C60"/>
    <w:rsid w:val="3BF5F3A3"/>
    <w:rsid w:val="3D4F38C3"/>
    <w:rsid w:val="3D6B160D"/>
    <w:rsid w:val="3D6D397F"/>
    <w:rsid w:val="3DEC3424"/>
    <w:rsid w:val="3E177156"/>
    <w:rsid w:val="3E68276B"/>
    <w:rsid w:val="3EC14964"/>
    <w:rsid w:val="3F4F7A6D"/>
    <w:rsid w:val="3F6669F8"/>
    <w:rsid w:val="3FCF0D38"/>
    <w:rsid w:val="3FE7FCD5"/>
    <w:rsid w:val="4013329B"/>
    <w:rsid w:val="403F2E01"/>
    <w:rsid w:val="41792D2B"/>
    <w:rsid w:val="41E52F30"/>
    <w:rsid w:val="43516922"/>
    <w:rsid w:val="43EB104A"/>
    <w:rsid w:val="444D205C"/>
    <w:rsid w:val="4460601F"/>
    <w:rsid w:val="44DE1A55"/>
    <w:rsid w:val="45850AEF"/>
    <w:rsid w:val="458A083C"/>
    <w:rsid w:val="4666033E"/>
    <w:rsid w:val="468A6859"/>
    <w:rsid w:val="46B56963"/>
    <w:rsid w:val="46E236F6"/>
    <w:rsid w:val="476A19BB"/>
    <w:rsid w:val="478002D1"/>
    <w:rsid w:val="48163062"/>
    <w:rsid w:val="486C67DA"/>
    <w:rsid w:val="49B37918"/>
    <w:rsid w:val="49E21A21"/>
    <w:rsid w:val="4AA15BE5"/>
    <w:rsid w:val="4AFA7A57"/>
    <w:rsid w:val="4B2F2E62"/>
    <w:rsid w:val="4B610B22"/>
    <w:rsid w:val="4B627982"/>
    <w:rsid w:val="4B72C690"/>
    <w:rsid w:val="4B9D0CE3"/>
    <w:rsid w:val="4C6A3483"/>
    <w:rsid w:val="4D2D5834"/>
    <w:rsid w:val="4D754FA0"/>
    <w:rsid w:val="4DA70492"/>
    <w:rsid w:val="4E1679EA"/>
    <w:rsid w:val="4F1E218A"/>
    <w:rsid w:val="4F736964"/>
    <w:rsid w:val="504B40DF"/>
    <w:rsid w:val="519E0872"/>
    <w:rsid w:val="52F743C6"/>
    <w:rsid w:val="52FB0AB3"/>
    <w:rsid w:val="532B3BF1"/>
    <w:rsid w:val="534D658E"/>
    <w:rsid w:val="53CB34BB"/>
    <w:rsid w:val="55023FFD"/>
    <w:rsid w:val="553D417E"/>
    <w:rsid w:val="55433407"/>
    <w:rsid w:val="55530A1D"/>
    <w:rsid w:val="55614134"/>
    <w:rsid w:val="569B3C35"/>
    <w:rsid w:val="56AD7AAD"/>
    <w:rsid w:val="56BA7DC5"/>
    <w:rsid w:val="56BB31A8"/>
    <w:rsid w:val="5743A5E4"/>
    <w:rsid w:val="57826D59"/>
    <w:rsid w:val="57895361"/>
    <w:rsid w:val="578B4F43"/>
    <w:rsid w:val="57913EE0"/>
    <w:rsid w:val="57F9193D"/>
    <w:rsid w:val="580E025C"/>
    <w:rsid w:val="58294CD8"/>
    <w:rsid w:val="583428B9"/>
    <w:rsid w:val="58EF0CC9"/>
    <w:rsid w:val="59552016"/>
    <w:rsid w:val="59586D03"/>
    <w:rsid w:val="59812802"/>
    <w:rsid w:val="5A871B04"/>
    <w:rsid w:val="5AB3769A"/>
    <w:rsid w:val="5AFF0E46"/>
    <w:rsid w:val="5B73A978"/>
    <w:rsid w:val="5BFF5791"/>
    <w:rsid w:val="5C004941"/>
    <w:rsid w:val="5C0277D2"/>
    <w:rsid w:val="5C1E6260"/>
    <w:rsid w:val="5C38509A"/>
    <w:rsid w:val="5D211F0E"/>
    <w:rsid w:val="5DAF43C8"/>
    <w:rsid w:val="5E282003"/>
    <w:rsid w:val="5E4C2B8A"/>
    <w:rsid w:val="5E4E4AC9"/>
    <w:rsid w:val="5ED010C4"/>
    <w:rsid w:val="5F2D7114"/>
    <w:rsid w:val="5F316370"/>
    <w:rsid w:val="5F36DED5"/>
    <w:rsid w:val="5F371FBA"/>
    <w:rsid w:val="5F7F0F32"/>
    <w:rsid w:val="5F8A1B20"/>
    <w:rsid w:val="5FF9FD29"/>
    <w:rsid w:val="604E1CA9"/>
    <w:rsid w:val="606A363E"/>
    <w:rsid w:val="60914F72"/>
    <w:rsid w:val="60F7C959"/>
    <w:rsid w:val="61E729DB"/>
    <w:rsid w:val="62F31C03"/>
    <w:rsid w:val="63762DE2"/>
    <w:rsid w:val="63A67DBA"/>
    <w:rsid w:val="640217ED"/>
    <w:rsid w:val="64241429"/>
    <w:rsid w:val="64AB7FA1"/>
    <w:rsid w:val="64DB4D19"/>
    <w:rsid w:val="65572138"/>
    <w:rsid w:val="65C67BF0"/>
    <w:rsid w:val="65E161A0"/>
    <w:rsid w:val="662705B0"/>
    <w:rsid w:val="66E459E8"/>
    <w:rsid w:val="67D0600A"/>
    <w:rsid w:val="67FDB213"/>
    <w:rsid w:val="694D5E61"/>
    <w:rsid w:val="69C71A68"/>
    <w:rsid w:val="6A1C10B1"/>
    <w:rsid w:val="6A4F2A24"/>
    <w:rsid w:val="6A9E7710"/>
    <w:rsid w:val="6BFD59E3"/>
    <w:rsid w:val="6C70770D"/>
    <w:rsid w:val="6CB0411A"/>
    <w:rsid w:val="6CD563EC"/>
    <w:rsid w:val="6D0400F4"/>
    <w:rsid w:val="6D1B0EFE"/>
    <w:rsid w:val="6DEB09A1"/>
    <w:rsid w:val="6E231FB6"/>
    <w:rsid w:val="6E415D3D"/>
    <w:rsid w:val="6E5913B7"/>
    <w:rsid w:val="6E803218"/>
    <w:rsid w:val="6F0E4912"/>
    <w:rsid w:val="6F521885"/>
    <w:rsid w:val="6F5A6703"/>
    <w:rsid w:val="6F753F3F"/>
    <w:rsid w:val="6F7E0724"/>
    <w:rsid w:val="6FD95E10"/>
    <w:rsid w:val="6FEFC4A0"/>
    <w:rsid w:val="707E32FC"/>
    <w:rsid w:val="726302BC"/>
    <w:rsid w:val="72AF0E89"/>
    <w:rsid w:val="72D5010D"/>
    <w:rsid w:val="72FE677E"/>
    <w:rsid w:val="735F5FBB"/>
    <w:rsid w:val="743304CB"/>
    <w:rsid w:val="74FA764D"/>
    <w:rsid w:val="751860EB"/>
    <w:rsid w:val="754C2455"/>
    <w:rsid w:val="75C37C15"/>
    <w:rsid w:val="75FF5EA0"/>
    <w:rsid w:val="76C02ECF"/>
    <w:rsid w:val="77E52513"/>
    <w:rsid w:val="77FE99E4"/>
    <w:rsid w:val="77FF5A91"/>
    <w:rsid w:val="79464DD1"/>
    <w:rsid w:val="79827CEE"/>
    <w:rsid w:val="79FF75B0"/>
    <w:rsid w:val="7A3E4734"/>
    <w:rsid w:val="7A7EBA34"/>
    <w:rsid w:val="7AA140C0"/>
    <w:rsid w:val="7AD302E9"/>
    <w:rsid w:val="7B765336"/>
    <w:rsid w:val="7B7F23F3"/>
    <w:rsid w:val="7B9E20BC"/>
    <w:rsid w:val="7BBDBE30"/>
    <w:rsid w:val="7BFB8AAB"/>
    <w:rsid w:val="7C3E51DC"/>
    <w:rsid w:val="7C6F6276"/>
    <w:rsid w:val="7C7823F2"/>
    <w:rsid w:val="7CDB4F66"/>
    <w:rsid w:val="7D5262BE"/>
    <w:rsid w:val="7D5FFBB9"/>
    <w:rsid w:val="7DA440C3"/>
    <w:rsid w:val="7DF0990B"/>
    <w:rsid w:val="7DFB5EE6"/>
    <w:rsid w:val="7DFEF36D"/>
    <w:rsid w:val="7E2332E9"/>
    <w:rsid w:val="7E7F6261"/>
    <w:rsid w:val="7ED64BC9"/>
    <w:rsid w:val="7EFB0886"/>
    <w:rsid w:val="7EFE14D3"/>
    <w:rsid w:val="7F377639"/>
    <w:rsid w:val="7F6C32B7"/>
    <w:rsid w:val="7F6DB821"/>
    <w:rsid w:val="7F7DC197"/>
    <w:rsid w:val="7FDEBA6F"/>
    <w:rsid w:val="7FF974B6"/>
    <w:rsid w:val="7FF99D69"/>
    <w:rsid w:val="7FFD1190"/>
    <w:rsid w:val="7FFF40EB"/>
    <w:rsid w:val="7FFF7377"/>
    <w:rsid w:val="8BF82473"/>
    <w:rsid w:val="93D63BFE"/>
    <w:rsid w:val="A5DBE4DE"/>
    <w:rsid w:val="BCFFD495"/>
    <w:rsid w:val="BD9F9993"/>
    <w:rsid w:val="BEBF589E"/>
    <w:rsid w:val="BF422B2B"/>
    <w:rsid w:val="BFD3BA99"/>
    <w:rsid w:val="BFFEF85B"/>
    <w:rsid w:val="C277B46B"/>
    <w:rsid w:val="D9EF1550"/>
    <w:rsid w:val="D9FF33FD"/>
    <w:rsid w:val="DCAFA4A8"/>
    <w:rsid w:val="DFA9EAB3"/>
    <w:rsid w:val="DFF5218C"/>
    <w:rsid w:val="DFFD2808"/>
    <w:rsid w:val="E77B4639"/>
    <w:rsid w:val="E77EFD4E"/>
    <w:rsid w:val="E7B73468"/>
    <w:rsid w:val="E9EF282E"/>
    <w:rsid w:val="EA974BB7"/>
    <w:rsid w:val="EC7FB260"/>
    <w:rsid w:val="ECDA5638"/>
    <w:rsid w:val="EF7FB44D"/>
    <w:rsid w:val="EF7FD661"/>
    <w:rsid w:val="EF9E7C83"/>
    <w:rsid w:val="EFDA1250"/>
    <w:rsid w:val="EFEF9065"/>
    <w:rsid w:val="F1DB9CE8"/>
    <w:rsid w:val="F3CC5702"/>
    <w:rsid w:val="F4D9B096"/>
    <w:rsid w:val="F5FD8F75"/>
    <w:rsid w:val="F5FF1069"/>
    <w:rsid w:val="F5FF1F42"/>
    <w:rsid w:val="F6AF12E7"/>
    <w:rsid w:val="F6F598D7"/>
    <w:rsid w:val="F73D765F"/>
    <w:rsid w:val="F7C7B1F3"/>
    <w:rsid w:val="F7DB9EBB"/>
    <w:rsid w:val="F7DDF9D1"/>
    <w:rsid w:val="F7FB3EF5"/>
    <w:rsid w:val="F7FD601A"/>
    <w:rsid w:val="F95E6C93"/>
    <w:rsid w:val="F9BB13EC"/>
    <w:rsid w:val="F9FF6425"/>
    <w:rsid w:val="FA2F1EEC"/>
    <w:rsid w:val="FB45BA28"/>
    <w:rsid w:val="FB76D6B2"/>
    <w:rsid w:val="FDA1BD29"/>
    <w:rsid w:val="FDFEDE36"/>
    <w:rsid w:val="FEE5C5B3"/>
    <w:rsid w:val="FEFBC5A3"/>
    <w:rsid w:val="FFDAED5F"/>
    <w:rsid w:val="FFDFD660"/>
    <w:rsid w:val="FFDFDEAF"/>
    <w:rsid w:val="FFEEEADB"/>
    <w:rsid w:val="FFFB56AB"/>
    <w:rsid w:val="FFFDCF2A"/>
    <w:rsid w:val="FFFF45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600" w:lineRule="exact"/>
      <w:ind w:firstLine="400" w:firstLineChars="200"/>
      <w:jc w:val="both"/>
    </w:pPr>
    <w:rPr>
      <w:rFonts w:ascii="Times New Roman" w:hAnsi="Times New Roman" w:eastAsia="仿宋" w:cs="宋体"/>
      <w:sz w:val="32"/>
      <w:szCs w:val="22"/>
      <w:lang w:val="en-US" w:eastAsia="zh-CN" w:bidi="ar-SA"/>
    </w:rPr>
  </w:style>
  <w:style w:type="paragraph" w:styleId="5">
    <w:name w:val="heading 1"/>
    <w:basedOn w:val="1"/>
    <w:next w:val="1"/>
    <w:qFormat/>
    <w:uiPriority w:val="1"/>
    <w:pPr>
      <w:ind w:right="23" w:firstLine="0" w:firstLineChars="0"/>
      <w:jc w:val="center"/>
      <w:outlineLvl w:val="0"/>
    </w:pPr>
    <w:rPr>
      <w:rFonts w:eastAsia="黑体" w:cs="黑体"/>
      <w:b/>
      <w:szCs w:val="36"/>
    </w:rPr>
  </w:style>
  <w:style w:type="paragraph" w:styleId="6">
    <w:name w:val="heading 2"/>
    <w:basedOn w:val="1"/>
    <w:next w:val="1"/>
    <w:link w:val="19"/>
    <w:qFormat/>
    <w:uiPriority w:val="1"/>
    <w:pPr>
      <w:ind w:firstLine="0" w:firstLineChars="0"/>
      <w:outlineLvl w:val="1"/>
    </w:pPr>
    <w:rPr>
      <w:rFonts w:eastAsia="楷体" w:cs="黑体"/>
      <w:b/>
      <w:szCs w:val="32"/>
    </w:rPr>
  </w:style>
  <w:style w:type="paragraph" w:styleId="7">
    <w:name w:val="heading 3"/>
    <w:basedOn w:val="1"/>
    <w:next w:val="1"/>
    <w:qFormat/>
    <w:uiPriority w:val="1"/>
    <w:pPr>
      <w:ind w:hanging="749"/>
      <w:outlineLvl w:val="2"/>
    </w:pPr>
    <w:rPr>
      <w:rFonts w:ascii="Times New Roman" w:hAnsi="Times New Roman" w:eastAsia="仿宋" w:cs="Source Han Sans Bold"/>
      <w:b/>
      <w:bCs/>
      <w:szCs w:val="30"/>
    </w:rPr>
  </w:style>
  <w:style w:type="character" w:default="1" w:styleId="17">
    <w:name w:val="Default Paragraph Font"/>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Calibri" w:hAnsi="Calibri"/>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99"/>
    <w:pPr>
      <w:ind w:firstLine="420" w:firstLineChars="200"/>
    </w:pPr>
    <w:rPr>
      <w:rFonts w:ascii="Calibri" w:hAnsi="Calibri"/>
    </w:rPr>
  </w:style>
  <w:style w:type="paragraph" w:styleId="8">
    <w:name w:val="annotation text"/>
    <w:basedOn w:val="1"/>
    <w:uiPriority w:val="0"/>
    <w:pPr>
      <w:jc w:val="left"/>
    </w:pPr>
  </w:style>
  <w:style w:type="paragraph" w:styleId="9">
    <w:name w:val="Body Text"/>
    <w:basedOn w:val="1"/>
    <w:qFormat/>
    <w:uiPriority w:val="1"/>
    <w:rPr>
      <w:rFonts w:ascii="宋体" w:hAnsi="宋体" w:eastAsia="宋体"/>
      <w:sz w:val="30"/>
      <w:szCs w:val="30"/>
    </w:rPr>
  </w:style>
  <w:style w:type="paragraph" w:styleId="10">
    <w:name w:val="footer"/>
    <w:basedOn w:val="1"/>
    <w:unhideWhenUsed/>
    <w:qFormat/>
    <w:uiPriority w:val="99"/>
    <w:pPr>
      <w:tabs>
        <w:tab w:val="center" w:pos="4153"/>
        <w:tab w:val="right" w:pos="8306"/>
      </w:tabs>
      <w:jc w:val="left"/>
    </w:pPr>
    <w:rPr>
      <w:rFonts w:hint="eastAsia"/>
      <w:sz w:val="18"/>
    </w:rPr>
  </w:style>
  <w:style w:type="paragraph" w:styleId="11">
    <w:name w:val="header"/>
    <w:basedOn w:val="1"/>
    <w:unhideWhenUsed/>
    <w:qFormat/>
    <w:uiPriority w:val="0"/>
    <w:pPr>
      <w:tabs>
        <w:tab w:val="center" w:pos="4153"/>
        <w:tab w:val="right" w:pos="8306"/>
      </w:tabs>
      <w:spacing w:line="240" w:lineRule="auto"/>
    </w:pPr>
    <w:rPr>
      <w:rFonts w:hint="eastAsia"/>
      <w:sz w:val="18"/>
    </w:rPr>
  </w:style>
  <w:style w:type="paragraph" w:styleId="12">
    <w:name w:val="toc 1"/>
    <w:basedOn w:val="1"/>
    <w:next w:val="1"/>
    <w:uiPriority w:val="0"/>
  </w:style>
  <w:style w:type="paragraph" w:styleId="13">
    <w:name w:val="toc 2"/>
    <w:basedOn w:val="1"/>
    <w:next w:val="1"/>
    <w:uiPriority w:val="0"/>
    <w:pPr>
      <w:ind w:left="420" w:leftChars="200"/>
    </w:pPr>
  </w:style>
  <w:style w:type="paragraph" w:styleId="14">
    <w:name w:val="Normal (Web)"/>
    <w:basedOn w:val="1"/>
    <w:uiPriority w:val="0"/>
    <w:pPr>
      <w:spacing w:before="100" w:beforeAutospacing="1" w:after="100" w:afterAutospacing="1"/>
      <w:ind w:left="0" w:right="0"/>
      <w:jc w:val="left"/>
    </w:pPr>
    <w:rPr>
      <w:kern w:val="0"/>
      <w:sz w:val="24"/>
      <w:lang w:val="en-US" w:eastAsia="zh-CN" w:bidi="ar"/>
    </w:rPr>
  </w:style>
  <w:style w:type="paragraph" w:styleId="15">
    <w:name w:val="Title"/>
    <w:basedOn w:val="1"/>
    <w:qFormat/>
    <w:uiPriority w:val="1"/>
    <w:pPr>
      <w:spacing w:line="735" w:lineRule="exact"/>
      <w:ind w:right="21"/>
      <w:jc w:val="center"/>
    </w:pPr>
    <w:rPr>
      <w:rFonts w:ascii="华文中宋" w:hAnsi="华文中宋" w:eastAsia="华文中宋" w:cs="华文中宋"/>
      <w:sz w:val="48"/>
      <w:szCs w:val="48"/>
    </w:rPr>
  </w:style>
  <w:style w:type="character" w:styleId="18">
    <w:name w:val="Strong"/>
    <w:basedOn w:val="17"/>
    <w:qFormat/>
    <w:uiPriority w:val="0"/>
    <w:rPr>
      <w:b/>
    </w:rPr>
  </w:style>
  <w:style w:type="character" w:customStyle="1" w:styleId="19">
    <w:name w:val="标题 2 Char"/>
    <w:link w:val="6"/>
    <w:uiPriority w:val="1"/>
    <w:rPr>
      <w:rFonts w:eastAsia="楷体" w:cs="黑体"/>
      <w:b/>
      <w:szCs w:val="32"/>
    </w:rPr>
  </w:style>
  <w:style w:type="character" w:customStyle="1" w:styleId="20">
    <w:name w:val="font31"/>
    <w:basedOn w:val="17"/>
    <w:uiPriority w:val="0"/>
    <w:rPr>
      <w:rFonts w:hint="eastAsia" w:ascii="仿宋" w:hAnsi="仿宋" w:eastAsia="仿宋" w:cs="仿宋"/>
      <w:b/>
      <w:color w:val="000000"/>
      <w:sz w:val="24"/>
      <w:szCs w:val="24"/>
      <w:u w:val="none"/>
    </w:rPr>
  </w:style>
  <w:style w:type="character" w:customStyle="1" w:styleId="21">
    <w:name w:val="font51"/>
    <w:basedOn w:val="17"/>
    <w:uiPriority w:val="0"/>
    <w:rPr>
      <w:rFonts w:hint="eastAsia" w:ascii="仿宋" w:hAnsi="仿宋" w:eastAsia="仿宋" w:cs="仿宋"/>
      <w:color w:val="000000"/>
      <w:sz w:val="24"/>
      <w:szCs w:val="24"/>
      <w:u w:val="none"/>
    </w:rPr>
  </w:style>
  <w:style w:type="character" w:customStyle="1" w:styleId="22">
    <w:name w:val="font71"/>
    <w:basedOn w:val="17"/>
    <w:uiPriority w:val="0"/>
    <w:rPr>
      <w:rFonts w:hint="default" w:ascii="Times New Roman" w:hAnsi="Times New Roman" w:cs="Times New Roman"/>
      <w:b/>
      <w:color w:val="000000"/>
      <w:sz w:val="24"/>
      <w:szCs w:val="24"/>
      <w:u w:val="none"/>
    </w:rPr>
  </w:style>
  <w:style w:type="character" w:customStyle="1" w:styleId="23">
    <w:name w:val="font61"/>
    <w:basedOn w:val="17"/>
    <w:uiPriority w:val="0"/>
    <w:rPr>
      <w:rFonts w:hint="default" w:ascii="Times New Roman" w:hAnsi="Times New Roman" w:cs="Times New Roman"/>
      <w:color w:val="000000"/>
      <w:sz w:val="24"/>
      <w:szCs w:val="24"/>
      <w:u w:val="none"/>
    </w:rPr>
  </w:style>
  <w:style w:type="character" w:customStyle="1" w:styleId="24">
    <w:name w:val="font01"/>
    <w:basedOn w:val="17"/>
    <w:uiPriority w:val="0"/>
    <w:rPr>
      <w:rFonts w:ascii="仿宋" w:hAnsi="仿宋" w:eastAsia="仿宋" w:cs="仿宋"/>
      <w:b/>
      <w:color w:val="000000"/>
      <w:sz w:val="22"/>
      <w:szCs w:val="22"/>
      <w:u w:val="none"/>
    </w:rPr>
  </w:style>
  <w:style w:type="paragraph" w:customStyle="1" w:styleId="25">
    <w:name w:val="WPSOffice手动目录 2"/>
    <w:qFormat/>
    <w:uiPriority w:val="0"/>
    <w:pPr>
      <w:ind w:left="200" w:leftChars="200"/>
    </w:pPr>
    <w:rPr>
      <w:rFonts w:ascii="Calibri" w:hAnsi="Calibri" w:eastAsia="Calibri" w:cs="Times New Roman"/>
      <w:lang w:val="en-US" w:eastAsia="zh-CN" w:bidi="ar-SA"/>
    </w:rPr>
  </w:style>
  <w:style w:type="paragraph" w:customStyle="1" w:styleId="26">
    <w:name w:val="WPSOffice手动目录 1"/>
    <w:qFormat/>
    <w:uiPriority w:val="0"/>
    <w:rPr>
      <w:rFonts w:ascii="Calibri" w:hAnsi="Calibri" w:eastAsia="Calibri"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8015</Words>
  <Characters>8602</Characters>
  <Lines>0</Lines>
  <Paragraphs>0</Paragraphs>
  <TotalTime>57.6666666666667</TotalTime>
  <ScaleCrop>false</ScaleCrop>
  <LinksUpToDate>false</LinksUpToDate>
  <CharactersWithSpaces>8618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金晓丹</dc:creator>
  <cp:lastModifiedBy>Administrator</cp:lastModifiedBy>
  <cp:lastPrinted>2022-09-02T16:16:43Z</cp:lastPrinted>
  <dcterms:modified xsi:type="dcterms:W3CDTF">2022-10-12T08:16:10Z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803326A028104B22A7A27F760FFB3042</vt:lpwstr>
  </property>
</Properties>
</file>