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简体"/>
          <w:sz w:val="40"/>
          <w:szCs w:val="40"/>
        </w:rPr>
      </w:pPr>
      <w:bookmarkStart w:id="0" w:name="_GoBack"/>
      <w:bookmarkEnd w:id="0"/>
      <w:r>
        <w:rPr>
          <w:rFonts w:hint="eastAsia" w:ascii="华文中宋" w:hAnsi="华文中宋" w:eastAsia="华文中宋" w:cs="华文中宋"/>
          <w:sz w:val="40"/>
          <w:szCs w:val="40"/>
        </w:rPr>
        <w:t>群众信访举报转办和边督边改公开情况一览表</w:t>
      </w:r>
    </w:p>
    <w:p>
      <w:pPr>
        <w:spacing w:line="560" w:lineRule="exact"/>
        <w:jc w:val="right"/>
        <w:rPr>
          <w:rFonts w:ascii="Times New Roman" w:hAnsi="Times New Roman" w:eastAsia="仿宋"/>
          <w:sz w:val="28"/>
          <w:szCs w:val="28"/>
        </w:rPr>
      </w:pPr>
      <w:r>
        <w:rPr>
          <w:rFonts w:hint="eastAsia" w:ascii="仿宋_GB2312" w:hAnsi="仿宋_GB2312" w:eastAsia="仿宋_GB2312" w:cs="仿宋_GB2312"/>
          <w:sz w:val="28"/>
          <w:szCs w:val="28"/>
        </w:rPr>
        <w:t>（第十六批   2023年11月7日）</w:t>
      </w:r>
    </w:p>
    <w:tbl>
      <w:tblPr>
        <w:tblStyle w:val="16"/>
        <w:tblW w:w="1499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68"/>
        <w:gridCol w:w="883"/>
        <w:gridCol w:w="1913"/>
        <w:gridCol w:w="908"/>
        <w:gridCol w:w="1147"/>
        <w:gridCol w:w="4193"/>
        <w:gridCol w:w="982"/>
        <w:gridCol w:w="2580"/>
        <w:gridCol w:w="870"/>
        <w:gridCol w:w="84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68" w:type="dxa"/>
            <w:noWrap/>
            <w:vAlign w:val="center"/>
          </w:tcPr>
          <w:p>
            <w:pPr>
              <w:spacing w:line="400" w:lineRule="exact"/>
              <w:rPr>
                <w:rFonts w:ascii="Times New Roman" w:hAnsi="Times New Roman"/>
                <w:b/>
                <w:bCs/>
                <w:szCs w:val="21"/>
              </w:rPr>
            </w:pPr>
            <w:r>
              <w:rPr>
                <w:rFonts w:ascii="Times New Roman" w:hAnsi="Times New Roman"/>
                <w:b/>
                <w:bCs/>
                <w:szCs w:val="21"/>
              </w:rPr>
              <w:t>序号</w:t>
            </w:r>
          </w:p>
        </w:tc>
        <w:tc>
          <w:tcPr>
            <w:tcW w:w="883" w:type="dxa"/>
            <w:noWrap/>
            <w:vAlign w:val="center"/>
          </w:tcPr>
          <w:p>
            <w:pPr>
              <w:spacing w:line="400" w:lineRule="exact"/>
              <w:jc w:val="center"/>
              <w:rPr>
                <w:rFonts w:ascii="Times New Roman" w:hAnsi="Times New Roman"/>
                <w:b/>
                <w:bCs/>
                <w:szCs w:val="21"/>
              </w:rPr>
            </w:pPr>
            <w:r>
              <w:rPr>
                <w:rFonts w:ascii="Times New Roman" w:hAnsi="Times New Roman"/>
                <w:b/>
                <w:bCs/>
                <w:szCs w:val="21"/>
              </w:rPr>
              <w:t>受理编号</w:t>
            </w:r>
          </w:p>
        </w:tc>
        <w:tc>
          <w:tcPr>
            <w:tcW w:w="1913" w:type="dxa"/>
            <w:noWrap/>
            <w:vAlign w:val="center"/>
          </w:tcPr>
          <w:p>
            <w:pPr>
              <w:spacing w:line="400" w:lineRule="exact"/>
              <w:jc w:val="center"/>
              <w:rPr>
                <w:rFonts w:ascii="Times New Roman" w:hAnsi="Times New Roman"/>
                <w:b/>
                <w:bCs/>
                <w:szCs w:val="21"/>
              </w:rPr>
            </w:pPr>
            <w:r>
              <w:rPr>
                <w:rFonts w:ascii="Times New Roman" w:hAnsi="Times New Roman"/>
                <w:b/>
                <w:bCs/>
                <w:szCs w:val="21"/>
              </w:rPr>
              <w:t>交办问题基本情况</w:t>
            </w:r>
          </w:p>
        </w:tc>
        <w:tc>
          <w:tcPr>
            <w:tcW w:w="908" w:type="dxa"/>
            <w:noWrap/>
            <w:vAlign w:val="center"/>
          </w:tcPr>
          <w:p>
            <w:pPr>
              <w:spacing w:line="400" w:lineRule="exact"/>
              <w:jc w:val="center"/>
              <w:rPr>
                <w:rFonts w:ascii="Times New Roman" w:hAnsi="Times New Roman"/>
                <w:b/>
                <w:bCs/>
                <w:szCs w:val="21"/>
              </w:rPr>
            </w:pPr>
            <w:r>
              <w:rPr>
                <w:rFonts w:ascii="Times New Roman" w:hAnsi="Times New Roman"/>
                <w:b/>
                <w:bCs/>
                <w:szCs w:val="21"/>
              </w:rPr>
              <w:t>行政区域</w:t>
            </w:r>
          </w:p>
        </w:tc>
        <w:tc>
          <w:tcPr>
            <w:tcW w:w="1147" w:type="dxa"/>
            <w:noWrap/>
            <w:vAlign w:val="center"/>
          </w:tcPr>
          <w:p>
            <w:pPr>
              <w:spacing w:line="400" w:lineRule="exact"/>
              <w:jc w:val="center"/>
              <w:rPr>
                <w:rFonts w:ascii="Times New Roman" w:hAnsi="Times New Roman"/>
                <w:b/>
                <w:bCs/>
                <w:szCs w:val="21"/>
              </w:rPr>
            </w:pPr>
            <w:r>
              <w:rPr>
                <w:rFonts w:ascii="Times New Roman" w:hAnsi="Times New Roman"/>
                <w:b/>
                <w:bCs/>
                <w:szCs w:val="21"/>
              </w:rPr>
              <w:t>污染类型</w:t>
            </w:r>
          </w:p>
        </w:tc>
        <w:tc>
          <w:tcPr>
            <w:tcW w:w="4193" w:type="dxa"/>
            <w:noWrap/>
            <w:vAlign w:val="center"/>
          </w:tcPr>
          <w:p>
            <w:pPr>
              <w:spacing w:line="400" w:lineRule="exact"/>
              <w:jc w:val="center"/>
              <w:rPr>
                <w:rFonts w:ascii="Times New Roman" w:hAnsi="Times New Roman"/>
                <w:b/>
                <w:bCs/>
                <w:szCs w:val="21"/>
              </w:rPr>
            </w:pPr>
            <w:r>
              <w:rPr>
                <w:rFonts w:ascii="Times New Roman" w:hAnsi="Times New Roman"/>
                <w:b/>
                <w:bCs/>
                <w:szCs w:val="21"/>
              </w:rPr>
              <w:t>调查核实情况</w:t>
            </w:r>
          </w:p>
        </w:tc>
        <w:tc>
          <w:tcPr>
            <w:tcW w:w="982" w:type="dxa"/>
            <w:noWrap/>
            <w:vAlign w:val="center"/>
          </w:tcPr>
          <w:p>
            <w:pPr>
              <w:spacing w:line="400" w:lineRule="exact"/>
              <w:jc w:val="center"/>
              <w:rPr>
                <w:rFonts w:ascii="Times New Roman" w:hAnsi="Times New Roman"/>
                <w:b/>
                <w:bCs/>
                <w:szCs w:val="21"/>
              </w:rPr>
            </w:pPr>
            <w:r>
              <w:rPr>
                <w:rFonts w:ascii="Times New Roman" w:hAnsi="Times New Roman"/>
                <w:b/>
                <w:bCs/>
                <w:szCs w:val="21"/>
              </w:rPr>
              <w:t>是否</w:t>
            </w:r>
          </w:p>
          <w:p>
            <w:pPr>
              <w:spacing w:line="400" w:lineRule="exact"/>
              <w:jc w:val="center"/>
              <w:rPr>
                <w:rFonts w:ascii="Times New Roman" w:hAnsi="Times New Roman"/>
                <w:b/>
                <w:bCs/>
                <w:szCs w:val="21"/>
              </w:rPr>
            </w:pPr>
            <w:r>
              <w:rPr>
                <w:rFonts w:ascii="Times New Roman" w:hAnsi="Times New Roman"/>
                <w:b/>
                <w:bCs/>
                <w:szCs w:val="21"/>
              </w:rPr>
              <w:t>属实</w:t>
            </w:r>
          </w:p>
        </w:tc>
        <w:tc>
          <w:tcPr>
            <w:tcW w:w="2580" w:type="dxa"/>
            <w:noWrap/>
            <w:vAlign w:val="center"/>
          </w:tcPr>
          <w:p>
            <w:pPr>
              <w:spacing w:line="400" w:lineRule="exact"/>
              <w:jc w:val="center"/>
              <w:rPr>
                <w:rFonts w:ascii="Times New Roman" w:hAnsi="Times New Roman"/>
                <w:b/>
                <w:bCs/>
                <w:szCs w:val="21"/>
              </w:rPr>
            </w:pPr>
            <w:r>
              <w:rPr>
                <w:rFonts w:ascii="Times New Roman" w:hAnsi="Times New Roman"/>
                <w:b/>
                <w:bCs/>
                <w:szCs w:val="21"/>
              </w:rPr>
              <w:t>处理和整改情况</w:t>
            </w:r>
          </w:p>
        </w:tc>
        <w:tc>
          <w:tcPr>
            <w:tcW w:w="870" w:type="dxa"/>
            <w:noWrap/>
            <w:vAlign w:val="center"/>
          </w:tcPr>
          <w:p>
            <w:pPr>
              <w:spacing w:line="400" w:lineRule="exact"/>
              <w:jc w:val="center"/>
              <w:rPr>
                <w:rFonts w:ascii="Times New Roman" w:hAnsi="Times New Roman"/>
                <w:b/>
                <w:bCs/>
                <w:szCs w:val="21"/>
              </w:rPr>
            </w:pPr>
            <w:r>
              <w:rPr>
                <w:rFonts w:ascii="Times New Roman" w:hAnsi="Times New Roman"/>
                <w:b/>
                <w:bCs/>
                <w:szCs w:val="21"/>
              </w:rPr>
              <w:t>是否</w:t>
            </w:r>
          </w:p>
          <w:p>
            <w:pPr>
              <w:spacing w:line="400" w:lineRule="exact"/>
              <w:jc w:val="center"/>
              <w:rPr>
                <w:rFonts w:ascii="Times New Roman" w:hAnsi="Times New Roman"/>
                <w:b/>
                <w:bCs/>
                <w:szCs w:val="21"/>
              </w:rPr>
            </w:pPr>
            <w:r>
              <w:rPr>
                <w:rFonts w:ascii="Times New Roman" w:hAnsi="Times New Roman"/>
                <w:b/>
                <w:bCs/>
                <w:szCs w:val="21"/>
              </w:rPr>
              <w:t>办结</w:t>
            </w:r>
          </w:p>
        </w:tc>
        <w:tc>
          <w:tcPr>
            <w:tcW w:w="848" w:type="dxa"/>
            <w:noWrap/>
            <w:vAlign w:val="center"/>
          </w:tcPr>
          <w:p>
            <w:pPr>
              <w:spacing w:line="400" w:lineRule="exact"/>
              <w:jc w:val="center"/>
              <w:rPr>
                <w:rFonts w:ascii="Times New Roman" w:hAnsi="Times New Roman"/>
                <w:b/>
                <w:bCs/>
                <w:szCs w:val="21"/>
              </w:rPr>
            </w:pPr>
            <w:r>
              <w:rPr>
                <w:rFonts w:ascii="Times New Roman" w:hAnsi="Times New Roman"/>
                <w:b/>
                <w:bCs/>
                <w:szCs w:val="21"/>
              </w:rPr>
              <w:t>责任人被处理情况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8" w:type="dxa"/>
            <w:noWrap/>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883"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D2LZ202310250001</w:t>
            </w:r>
          </w:p>
        </w:tc>
        <w:tc>
          <w:tcPr>
            <w:tcW w:w="1913" w:type="dxa"/>
            <w:noWrap/>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融安县大良镇龙山村龙杏屯村民代表再次反映修建光伏电站破坏水源地问题未得到根本解决，对督察组的处理结果不满意，不认同核查结果，认为督察组现场核实结果与实际不符，该水库是作为村民生活用水主要水源地，而调查结果所说的生活用水水源点的水井完全不能满足村民日常需求，一到干旱时节水井没水造成村民用水困难。希望督察组重新认真现场核查，恢复水库原状，保障村民基本生活用水。</w:t>
            </w:r>
          </w:p>
        </w:tc>
        <w:tc>
          <w:tcPr>
            <w:tcW w:w="908"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融安县</w:t>
            </w:r>
          </w:p>
        </w:tc>
        <w:tc>
          <w:tcPr>
            <w:tcW w:w="1147"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水污染、生态破坏</w:t>
            </w:r>
          </w:p>
        </w:tc>
        <w:tc>
          <w:tcPr>
            <w:tcW w:w="4193" w:type="dxa"/>
            <w:noWrap/>
            <w:vAlign w:val="center"/>
          </w:tcPr>
          <w:p>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群众反映水库为树立水库，根据《水库大坝安全管理条例》有关规定，2023年9月树立水库更新注册登记信息，水库注册登记的主要功能为防洪、灌溉、养殖，不作为饮用水源。</w:t>
            </w:r>
          </w:p>
          <w:p>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龙杏屯生活用水来源于龙山村龙杏屯饮水工程项目，该项目于2013年建成投入使用，经走访调查，龙山村龙杏屯饮水点水源可保障村民正常饮水，未发生因饮水供断，需政府集中送水的情况。</w:t>
            </w:r>
          </w:p>
        </w:tc>
        <w:tc>
          <w:tcPr>
            <w:tcW w:w="982" w:type="dxa"/>
            <w:noWrap/>
            <w:vAlign w:val="center"/>
          </w:tcPr>
          <w:p>
            <w:p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kern w:val="0"/>
                <w:sz w:val="24"/>
                <w:szCs w:val="24"/>
              </w:rPr>
              <w:t>不属实</w:t>
            </w:r>
          </w:p>
        </w:tc>
        <w:tc>
          <w:tcPr>
            <w:tcW w:w="2580" w:type="dxa"/>
            <w:noWrap/>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未发现群众生活用水困难，如在极其干旱季节，群众出现饮水困难，群众可向政府申请饮水提升工程。</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针对光伏项目建设，要求业主单位严格按照施工方案文明施工，在施工结束后，拆除土石围堰，清运土石方。</w:t>
            </w:r>
          </w:p>
        </w:tc>
        <w:tc>
          <w:tcPr>
            <w:tcW w:w="870"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已办结</w:t>
            </w:r>
          </w:p>
        </w:tc>
        <w:tc>
          <w:tcPr>
            <w:tcW w:w="848"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8" w:type="dxa"/>
            <w:noWrap/>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883"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D2LZ202310250002</w:t>
            </w:r>
          </w:p>
        </w:tc>
        <w:tc>
          <w:tcPr>
            <w:tcW w:w="1913" w:type="dxa"/>
            <w:noWrap/>
            <w:vAlign w:val="center"/>
          </w:tcPr>
          <w:p>
            <w:pPr>
              <w:rPr>
                <w:rFonts w:ascii="仿宋_GB2312" w:hAnsi="仿宋_GB2312" w:eastAsia="仿宋_GB2312" w:cs="仿宋_GB2312"/>
                <w:sz w:val="24"/>
                <w:szCs w:val="24"/>
              </w:rPr>
            </w:pPr>
            <w:r>
              <w:rPr>
                <w:rFonts w:ascii="仿宋_GB2312" w:hAnsi="仿宋_GB2312" w:eastAsia="仿宋_GB2312" w:cs="仿宋_GB2312"/>
                <w:sz w:val="24"/>
                <w:szCs w:val="24"/>
              </w:rPr>
              <w:t>柳南区香颂诺丁山小区居民反映，小区旁的友军机械配件铸造有限公司在凌晨1点和4点后排放有刺鼻性废气，气味非常难闻，影响居民正常生活。希望督察组现场核实处理。</w:t>
            </w:r>
          </w:p>
        </w:tc>
        <w:tc>
          <w:tcPr>
            <w:tcW w:w="908" w:type="dxa"/>
            <w:vMerge w:val="restart"/>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柳南区</w:t>
            </w:r>
          </w:p>
        </w:tc>
        <w:tc>
          <w:tcPr>
            <w:tcW w:w="1147" w:type="dxa"/>
            <w:vMerge w:val="restart"/>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大气污染</w:t>
            </w:r>
          </w:p>
        </w:tc>
        <w:tc>
          <w:tcPr>
            <w:tcW w:w="4193" w:type="dxa"/>
            <w:vMerge w:val="restart"/>
            <w:noWrap/>
            <w:vAlign w:val="center"/>
          </w:tcPr>
          <w:p>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举报者反映的问题部分属实。</w:t>
            </w:r>
          </w:p>
          <w:p>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友军机械、亿昌机械两家企业一般在用电低谷时段生产，主要生产时间为22:30-8:00。亿昌机械无产生异味工艺，涉及举报异味主要来源于友军机械。10月17日、19日、20日、26日，4次现场调查，未发现友军机械烟气外逸现象。2023年7-10月，企业自行委托监测1次、生态环境部门执法监测2次，隧道窑废气排放口排放的废气中，颗粒物、非甲烷总烃、臭气的排放浓度均未超标，符合《中华人民共和国大气污染防治法》规定。要求企业零排放缺乏法律依据。</w:t>
            </w:r>
          </w:p>
          <w:p>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柳南区政府相关部门曾3次邀请10多人次的业主代表到友军机械现场查看比对整改前后环保处理设施效能变化情况，在整改和升级改造后收尘效果提升基本看不到烟尘外溢的情况。</w:t>
            </w:r>
          </w:p>
        </w:tc>
        <w:tc>
          <w:tcPr>
            <w:tcW w:w="982" w:type="dxa"/>
            <w:vMerge w:val="restart"/>
            <w:noWrap/>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部分属实</w:t>
            </w:r>
          </w:p>
        </w:tc>
        <w:tc>
          <w:tcPr>
            <w:tcW w:w="2580" w:type="dxa"/>
            <w:vMerge w:val="restart"/>
            <w:noWrap/>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要求友军机械按照有关规定加强污染防治设施的维护与管理，确保生产时污染防治设施正常运转。</w:t>
            </w:r>
          </w:p>
        </w:tc>
        <w:tc>
          <w:tcPr>
            <w:tcW w:w="870" w:type="dxa"/>
            <w:vMerge w:val="restart"/>
            <w:noWrap/>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已办结</w:t>
            </w:r>
          </w:p>
        </w:tc>
        <w:tc>
          <w:tcPr>
            <w:tcW w:w="848" w:type="dxa"/>
            <w:vMerge w:val="restart"/>
            <w:noWrap/>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8" w:type="dxa"/>
            <w:noWrap/>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883"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D2LZ202310250005</w:t>
            </w:r>
          </w:p>
        </w:tc>
        <w:tc>
          <w:tcPr>
            <w:tcW w:w="1913" w:type="dxa"/>
            <w:noWrap/>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柳南区香颂诺丁山小区居民对督察组处理小区旁的友军机械配件铸造有限公司在凌晨排放有刺鼻性废气的问题处理结果不满意，认为现在相比之前虽然有所好转但未达到零排放结果。该居民希望该企业达到零排放要求。</w:t>
            </w:r>
          </w:p>
        </w:tc>
        <w:tc>
          <w:tcPr>
            <w:tcW w:w="908" w:type="dxa"/>
            <w:vMerge w:val="continue"/>
            <w:noWrap/>
            <w:vAlign w:val="center"/>
          </w:tcPr>
          <w:p>
            <w:pPr>
              <w:jc w:val="center"/>
              <w:rPr>
                <w:rFonts w:ascii="仿宋_GB2312" w:hAnsi="仿宋_GB2312" w:eastAsia="仿宋_GB2312" w:cs="仿宋_GB2312"/>
                <w:sz w:val="24"/>
                <w:szCs w:val="24"/>
              </w:rPr>
            </w:pPr>
          </w:p>
        </w:tc>
        <w:tc>
          <w:tcPr>
            <w:tcW w:w="1147" w:type="dxa"/>
            <w:vMerge w:val="continue"/>
            <w:noWrap/>
            <w:vAlign w:val="center"/>
          </w:tcPr>
          <w:p>
            <w:pPr>
              <w:jc w:val="center"/>
              <w:rPr>
                <w:rFonts w:ascii="仿宋_GB2312" w:hAnsi="仿宋_GB2312" w:eastAsia="仿宋_GB2312" w:cs="仿宋_GB2312"/>
                <w:sz w:val="24"/>
                <w:szCs w:val="24"/>
              </w:rPr>
            </w:pPr>
          </w:p>
        </w:tc>
        <w:tc>
          <w:tcPr>
            <w:tcW w:w="4193" w:type="dxa"/>
            <w:vMerge w:val="continue"/>
            <w:noWrap/>
            <w:vAlign w:val="center"/>
          </w:tcPr>
          <w:p>
            <w:pPr>
              <w:widowControl/>
              <w:overflowPunct w:val="0"/>
              <w:adjustRightInd w:val="0"/>
              <w:snapToGrid w:val="0"/>
              <w:rPr>
                <w:rFonts w:ascii="仿宋_GB2312" w:hAnsi="仿宋_GB2312" w:eastAsia="仿宋_GB2312" w:cs="仿宋_GB2312"/>
                <w:sz w:val="24"/>
                <w:szCs w:val="24"/>
              </w:rPr>
            </w:pPr>
          </w:p>
        </w:tc>
        <w:tc>
          <w:tcPr>
            <w:tcW w:w="982" w:type="dxa"/>
            <w:vMerge w:val="continue"/>
            <w:noWrap/>
            <w:vAlign w:val="center"/>
          </w:tcPr>
          <w:p>
            <w:pPr>
              <w:jc w:val="center"/>
              <w:rPr>
                <w:rFonts w:ascii="仿宋_GB2312" w:hAnsi="仿宋_GB2312" w:eastAsia="仿宋_GB2312" w:cs="仿宋_GB2312"/>
                <w:kern w:val="0"/>
                <w:sz w:val="24"/>
                <w:szCs w:val="24"/>
              </w:rPr>
            </w:pPr>
          </w:p>
        </w:tc>
        <w:tc>
          <w:tcPr>
            <w:tcW w:w="2580" w:type="dxa"/>
            <w:vMerge w:val="continue"/>
            <w:noWrap/>
            <w:vAlign w:val="center"/>
          </w:tcPr>
          <w:p>
            <w:pPr>
              <w:jc w:val="left"/>
              <w:rPr>
                <w:rFonts w:ascii="仿宋_GB2312" w:hAnsi="仿宋_GB2312" w:eastAsia="仿宋_GB2312" w:cs="仿宋_GB2312"/>
                <w:sz w:val="24"/>
                <w:szCs w:val="24"/>
              </w:rPr>
            </w:pPr>
          </w:p>
        </w:tc>
        <w:tc>
          <w:tcPr>
            <w:tcW w:w="870" w:type="dxa"/>
            <w:vMerge w:val="continue"/>
            <w:noWrap/>
            <w:vAlign w:val="center"/>
          </w:tcPr>
          <w:p>
            <w:pPr>
              <w:jc w:val="center"/>
              <w:rPr>
                <w:rFonts w:ascii="仿宋_GB2312" w:hAnsi="仿宋_GB2312" w:eastAsia="仿宋_GB2312" w:cs="仿宋_GB2312"/>
                <w:kern w:val="0"/>
                <w:sz w:val="24"/>
                <w:szCs w:val="24"/>
              </w:rPr>
            </w:pPr>
          </w:p>
        </w:tc>
        <w:tc>
          <w:tcPr>
            <w:tcW w:w="848" w:type="dxa"/>
            <w:vMerge w:val="continue"/>
            <w:noWrap/>
            <w:vAlign w:val="center"/>
          </w:tcPr>
          <w:p>
            <w:pPr>
              <w:jc w:val="center"/>
              <w:rPr>
                <w:rFonts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8" w:type="dxa"/>
            <w:noWrap/>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883"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D2LZ202310250006</w:t>
            </w:r>
          </w:p>
        </w:tc>
        <w:tc>
          <w:tcPr>
            <w:tcW w:w="1913" w:type="dxa"/>
            <w:noWrap/>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柳南区香颂诺丁山小区居民反映，小区旁友军机械配件铸造有限公司在凌晨1点至四点排放有焦臭、铁锈味废气，影响居民正常休息，损害居民身体健康，以上问题多次投诉到有关部门，企业整改后情况没有好转。</w:t>
            </w:r>
          </w:p>
        </w:tc>
        <w:tc>
          <w:tcPr>
            <w:tcW w:w="908" w:type="dxa"/>
            <w:vMerge w:val="continue"/>
            <w:noWrap/>
            <w:vAlign w:val="center"/>
          </w:tcPr>
          <w:p>
            <w:pPr>
              <w:jc w:val="center"/>
              <w:rPr>
                <w:rFonts w:ascii="仿宋_GB2312" w:hAnsi="仿宋_GB2312" w:eastAsia="仿宋_GB2312" w:cs="仿宋_GB2312"/>
                <w:sz w:val="24"/>
                <w:szCs w:val="24"/>
              </w:rPr>
            </w:pPr>
          </w:p>
        </w:tc>
        <w:tc>
          <w:tcPr>
            <w:tcW w:w="1147" w:type="dxa"/>
            <w:vMerge w:val="continue"/>
            <w:noWrap/>
            <w:vAlign w:val="center"/>
          </w:tcPr>
          <w:p>
            <w:pPr>
              <w:jc w:val="center"/>
              <w:rPr>
                <w:rFonts w:ascii="仿宋_GB2312" w:hAnsi="仿宋_GB2312" w:eastAsia="仿宋_GB2312" w:cs="仿宋_GB2312"/>
                <w:sz w:val="24"/>
                <w:szCs w:val="24"/>
              </w:rPr>
            </w:pPr>
          </w:p>
        </w:tc>
        <w:tc>
          <w:tcPr>
            <w:tcW w:w="4193" w:type="dxa"/>
            <w:vMerge w:val="continue"/>
            <w:noWrap/>
            <w:vAlign w:val="center"/>
          </w:tcPr>
          <w:p>
            <w:pPr>
              <w:widowControl/>
              <w:overflowPunct w:val="0"/>
              <w:adjustRightInd w:val="0"/>
              <w:snapToGrid w:val="0"/>
              <w:rPr>
                <w:rFonts w:ascii="仿宋_GB2312" w:hAnsi="仿宋_GB2312" w:eastAsia="仿宋_GB2312" w:cs="仿宋_GB2312"/>
                <w:sz w:val="24"/>
                <w:szCs w:val="24"/>
              </w:rPr>
            </w:pPr>
          </w:p>
        </w:tc>
        <w:tc>
          <w:tcPr>
            <w:tcW w:w="982" w:type="dxa"/>
            <w:vMerge w:val="continue"/>
            <w:noWrap/>
            <w:vAlign w:val="center"/>
          </w:tcPr>
          <w:p>
            <w:pPr>
              <w:jc w:val="center"/>
              <w:rPr>
                <w:rFonts w:ascii="仿宋_GB2312" w:hAnsi="仿宋_GB2312" w:eastAsia="仿宋_GB2312" w:cs="仿宋_GB2312"/>
                <w:kern w:val="0"/>
                <w:sz w:val="24"/>
                <w:szCs w:val="24"/>
              </w:rPr>
            </w:pPr>
          </w:p>
        </w:tc>
        <w:tc>
          <w:tcPr>
            <w:tcW w:w="2580" w:type="dxa"/>
            <w:vMerge w:val="continue"/>
            <w:noWrap/>
            <w:vAlign w:val="center"/>
          </w:tcPr>
          <w:p>
            <w:pPr>
              <w:jc w:val="left"/>
              <w:rPr>
                <w:rFonts w:ascii="仿宋_GB2312" w:hAnsi="仿宋_GB2312" w:eastAsia="仿宋_GB2312" w:cs="仿宋_GB2312"/>
                <w:sz w:val="24"/>
                <w:szCs w:val="24"/>
              </w:rPr>
            </w:pPr>
          </w:p>
        </w:tc>
        <w:tc>
          <w:tcPr>
            <w:tcW w:w="870" w:type="dxa"/>
            <w:vMerge w:val="continue"/>
            <w:noWrap/>
            <w:vAlign w:val="center"/>
          </w:tcPr>
          <w:p>
            <w:pPr>
              <w:jc w:val="center"/>
              <w:rPr>
                <w:rFonts w:ascii="仿宋_GB2312" w:hAnsi="仿宋_GB2312" w:eastAsia="仿宋_GB2312" w:cs="仿宋_GB2312"/>
                <w:kern w:val="0"/>
                <w:sz w:val="24"/>
                <w:szCs w:val="24"/>
              </w:rPr>
            </w:pPr>
          </w:p>
        </w:tc>
        <w:tc>
          <w:tcPr>
            <w:tcW w:w="848" w:type="dxa"/>
            <w:vMerge w:val="continue"/>
            <w:noWrap/>
            <w:vAlign w:val="center"/>
          </w:tcPr>
          <w:p>
            <w:pPr>
              <w:jc w:val="center"/>
              <w:rPr>
                <w:rFonts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8" w:type="dxa"/>
            <w:noWrap/>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883"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D2LZ202310250010</w:t>
            </w:r>
          </w:p>
        </w:tc>
        <w:tc>
          <w:tcPr>
            <w:tcW w:w="1913" w:type="dxa"/>
            <w:noWrap/>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柳南区香颂诺丁山小区居民反映，小区旁的友军机械配件铸造有限公司、柳州亿昌机械配件铸造有限公司在凌晨1点排放有铁锈味、塑料味废气。</w:t>
            </w:r>
          </w:p>
        </w:tc>
        <w:tc>
          <w:tcPr>
            <w:tcW w:w="908" w:type="dxa"/>
            <w:vMerge w:val="continue"/>
            <w:noWrap/>
            <w:vAlign w:val="center"/>
          </w:tcPr>
          <w:p>
            <w:pPr>
              <w:jc w:val="center"/>
              <w:rPr>
                <w:rFonts w:ascii="仿宋_GB2312" w:hAnsi="仿宋_GB2312" w:eastAsia="仿宋_GB2312" w:cs="仿宋_GB2312"/>
                <w:sz w:val="24"/>
                <w:szCs w:val="24"/>
              </w:rPr>
            </w:pPr>
          </w:p>
        </w:tc>
        <w:tc>
          <w:tcPr>
            <w:tcW w:w="1147" w:type="dxa"/>
            <w:vMerge w:val="continue"/>
            <w:noWrap/>
            <w:vAlign w:val="center"/>
          </w:tcPr>
          <w:p>
            <w:pPr>
              <w:jc w:val="center"/>
              <w:rPr>
                <w:rFonts w:ascii="仿宋_GB2312" w:hAnsi="仿宋_GB2312" w:eastAsia="仿宋_GB2312" w:cs="仿宋_GB2312"/>
                <w:sz w:val="24"/>
                <w:szCs w:val="24"/>
              </w:rPr>
            </w:pPr>
          </w:p>
        </w:tc>
        <w:tc>
          <w:tcPr>
            <w:tcW w:w="4193" w:type="dxa"/>
            <w:vMerge w:val="continue"/>
            <w:noWrap/>
            <w:vAlign w:val="center"/>
          </w:tcPr>
          <w:p>
            <w:pPr>
              <w:widowControl/>
              <w:overflowPunct w:val="0"/>
              <w:adjustRightInd w:val="0"/>
              <w:snapToGrid w:val="0"/>
              <w:rPr>
                <w:rFonts w:ascii="仿宋_GB2312" w:hAnsi="仿宋_GB2312" w:eastAsia="仿宋_GB2312" w:cs="仿宋_GB2312"/>
                <w:sz w:val="24"/>
                <w:szCs w:val="24"/>
              </w:rPr>
            </w:pPr>
          </w:p>
        </w:tc>
        <w:tc>
          <w:tcPr>
            <w:tcW w:w="982" w:type="dxa"/>
            <w:vMerge w:val="continue"/>
            <w:noWrap/>
            <w:vAlign w:val="center"/>
          </w:tcPr>
          <w:p>
            <w:pPr>
              <w:jc w:val="center"/>
              <w:rPr>
                <w:rFonts w:ascii="仿宋_GB2312" w:hAnsi="仿宋_GB2312" w:eastAsia="仿宋_GB2312" w:cs="仿宋_GB2312"/>
                <w:kern w:val="0"/>
                <w:sz w:val="24"/>
                <w:szCs w:val="24"/>
              </w:rPr>
            </w:pPr>
          </w:p>
        </w:tc>
        <w:tc>
          <w:tcPr>
            <w:tcW w:w="2580" w:type="dxa"/>
            <w:vMerge w:val="continue"/>
            <w:noWrap/>
            <w:vAlign w:val="center"/>
          </w:tcPr>
          <w:p>
            <w:pPr>
              <w:jc w:val="left"/>
              <w:rPr>
                <w:rFonts w:ascii="仿宋_GB2312" w:hAnsi="仿宋_GB2312" w:eastAsia="仿宋_GB2312" w:cs="仿宋_GB2312"/>
                <w:sz w:val="24"/>
                <w:szCs w:val="24"/>
              </w:rPr>
            </w:pPr>
          </w:p>
        </w:tc>
        <w:tc>
          <w:tcPr>
            <w:tcW w:w="870" w:type="dxa"/>
            <w:vMerge w:val="continue"/>
            <w:noWrap/>
            <w:vAlign w:val="center"/>
          </w:tcPr>
          <w:p>
            <w:pPr>
              <w:jc w:val="center"/>
              <w:rPr>
                <w:rFonts w:ascii="仿宋_GB2312" w:hAnsi="仿宋_GB2312" w:eastAsia="仿宋_GB2312" w:cs="仿宋_GB2312"/>
                <w:kern w:val="0"/>
                <w:sz w:val="24"/>
                <w:szCs w:val="24"/>
              </w:rPr>
            </w:pPr>
          </w:p>
        </w:tc>
        <w:tc>
          <w:tcPr>
            <w:tcW w:w="848" w:type="dxa"/>
            <w:vMerge w:val="continue"/>
            <w:noWrap/>
            <w:vAlign w:val="center"/>
          </w:tcPr>
          <w:p>
            <w:pPr>
              <w:jc w:val="center"/>
              <w:rPr>
                <w:rFonts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8" w:type="dxa"/>
            <w:noWrap/>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883" w:type="dxa"/>
            <w:noWrap/>
            <w:vAlign w:val="center"/>
          </w:tcPr>
          <w:p>
            <w:pPr>
              <w:jc w:val="center"/>
              <w:rPr>
                <w:rFonts w:ascii="仿宋_GB2312" w:hAnsi="仿宋_GB2312" w:eastAsia="仿宋_GB2312" w:cs="仿宋_GB2312"/>
                <w:sz w:val="24"/>
                <w:szCs w:val="24"/>
              </w:rPr>
            </w:pPr>
            <w:r>
              <w:rPr>
                <w:rFonts w:hint="eastAsia" w:ascii="仿宋" w:hAnsi="仿宋" w:eastAsia="仿宋" w:cs="仿宋"/>
                <w:color w:val="000000"/>
                <w:kern w:val="0"/>
                <w:sz w:val="24"/>
              </w:rPr>
              <w:t>D2LZ202310250003</w:t>
            </w:r>
          </w:p>
        </w:tc>
        <w:tc>
          <w:tcPr>
            <w:tcW w:w="1913" w:type="dxa"/>
            <w:noWrap/>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柳东新区荣和公园墅居民反映沁源纸业夜间2点至早上6点的时间段排放刺鼻废气，投诉人反映该纸厂白天不排放废气，不定期晚上才会排放废气，投诉人建议督察组在废气排放的时间段再去现场核实处理。</w:t>
            </w:r>
          </w:p>
        </w:tc>
        <w:tc>
          <w:tcPr>
            <w:tcW w:w="908"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柳东新区</w:t>
            </w:r>
          </w:p>
        </w:tc>
        <w:tc>
          <w:tcPr>
            <w:tcW w:w="1147"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大气污染</w:t>
            </w:r>
          </w:p>
        </w:tc>
        <w:tc>
          <w:tcPr>
            <w:tcW w:w="4193" w:type="dxa"/>
            <w:noWrap/>
            <w:vAlign w:val="center"/>
          </w:tcPr>
          <w:p>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经核查，所反映“柳东新区荣和公园墅居民反映沁源纸业夜间2点至早上6点的时间段排放刺鼻废气”情况属实。</w:t>
            </w:r>
          </w:p>
          <w:p>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沁原纸业主要从事制浆造纸生产，设计产能为年产纸浆8万吨、生活用纸8万吨，产生和排放的主要废气为：锅炉废气、碱炉废气、蒸煮废气、漂白废气。企业在生产时，会排放上述部分或全部类型气体。蒸煮废气、漂白废气排放时，会有刺激性气味。</w:t>
            </w:r>
          </w:p>
        </w:tc>
        <w:tc>
          <w:tcPr>
            <w:tcW w:w="982" w:type="dxa"/>
            <w:noWrap/>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属实</w:t>
            </w:r>
          </w:p>
        </w:tc>
        <w:tc>
          <w:tcPr>
            <w:tcW w:w="2580" w:type="dxa"/>
            <w:noWrap/>
            <w:vAlign w:val="center"/>
          </w:tcPr>
          <w:p>
            <w:pPr>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要求企业加强管理，严格落实排污许可证上的各项环境管理要求，执证排污、按证排污，运行维护好治污设施，确保性能良好，运转正常，各项污染物稳定达标排放。</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柳东新区管委会将进一步加强对企业的监督管理和帮扶指导，确保各项污染物稳定达标排放。</w:t>
            </w:r>
          </w:p>
        </w:tc>
        <w:tc>
          <w:tcPr>
            <w:tcW w:w="870" w:type="dxa"/>
            <w:noWrap/>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未办结</w:t>
            </w:r>
          </w:p>
        </w:tc>
        <w:tc>
          <w:tcPr>
            <w:tcW w:w="848"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8" w:type="dxa"/>
            <w:noWrap/>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883"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D2LZ202310250004</w:t>
            </w:r>
          </w:p>
        </w:tc>
        <w:tc>
          <w:tcPr>
            <w:tcW w:w="1913" w:type="dxa"/>
            <w:noWrap/>
            <w:vAlign w:val="center"/>
          </w:tcPr>
          <w:p>
            <w:pP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rPr>
              <w:t>城中区银龙大厦居民再次反映时代商厦2楼第9季酒吧，晚上10点至凌晨5点半噪声扰民问题依然存在，对督察组处理结果不满意，希望督察组按照国家相关规定对该酒吧噪声进行重新测量，拿出令居民信服的测量结果。</w:t>
            </w:r>
          </w:p>
        </w:tc>
        <w:tc>
          <w:tcPr>
            <w:tcW w:w="908"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城中区</w:t>
            </w:r>
          </w:p>
        </w:tc>
        <w:tc>
          <w:tcPr>
            <w:tcW w:w="1147"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噪声污染</w:t>
            </w:r>
          </w:p>
        </w:tc>
        <w:tc>
          <w:tcPr>
            <w:tcW w:w="4193" w:type="dxa"/>
            <w:noWrap/>
            <w:vAlign w:val="center"/>
          </w:tcPr>
          <w:p>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经经核实，该反映基本属实。</w:t>
            </w:r>
          </w:p>
          <w:p>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该酒吧建设场地时代商厦为写字楼。现场核查时，该酒吧正在营业，场内安装有闭门器、隔音帘、噪声显示仪、低音炮减震胶垫等设施。2023年8月酒吧委托第三方监测公司开展的噪声监测、10月20日晚生态环境部门委托开展的噪声监测均未发现酒吧超标。从群众投诉情况看，该酒吧噪声虽然达标排放，但仍存在噪声扰民情况。</w:t>
            </w:r>
          </w:p>
          <w:p>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10月28日凌晨，广西壮族自治区柳州生态环境监测中心开展噪声监测，监测结果符合《社会生活环境噪声排放标准》（GB 22337-2008）要求。</w:t>
            </w:r>
          </w:p>
        </w:tc>
        <w:tc>
          <w:tcPr>
            <w:tcW w:w="982" w:type="dxa"/>
            <w:noWrap/>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基本属实</w:t>
            </w:r>
          </w:p>
        </w:tc>
        <w:tc>
          <w:tcPr>
            <w:tcW w:w="2580" w:type="dxa"/>
            <w:noWrap/>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1.城中区政府对该酒吧开展联合执法行动，重点检查闭门器、隔音帘、噪声显示仪、隔音降噪材料的安装、音响类别和数量使用情况，指出存在的噪声污染问题并提出整改意见,做好隔音降噪措施。</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2.城中区政府督促经营业主做好场所内的噪声管理,依法严格控制营业时间，控制好夜间音响音量。</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对商家业主宣传《中华人民共和国噪声污染防治法》《广西壮族自治区环境保护条例》《娱乐场所管理条例》《娱乐场所管理办法》等相关法律条款，从主观意识上督促其落实好经营主体责任，强化其法律意识，激发其社会责任感。</w:t>
            </w:r>
          </w:p>
        </w:tc>
        <w:tc>
          <w:tcPr>
            <w:tcW w:w="870" w:type="dxa"/>
            <w:noWrap/>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未办结</w:t>
            </w:r>
          </w:p>
        </w:tc>
        <w:tc>
          <w:tcPr>
            <w:tcW w:w="848"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24" w:hRule="atLeast"/>
        </w:trPr>
        <w:tc>
          <w:tcPr>
            <w:tcW w:w="668" w:type="dxa"/>
            <w:noWrap/>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883"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D2LZ202310250007</w:t>
            </w:r>
          </w:p>
        </w:tc>
        <w:tc>
          <w:tcPr>
            <w:tcW w:w="1913" w:type="dxa"/>
            <w:vMerge w:val="restart"/>
            <w:noWrap/>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鱼峰区居民反映，白云路九头山采石场下午3至4点炸山采石，粉尘很大，小区房屋震感强烈，房屋有开裂现象，多次向有关部门反映未能解决。</w:t>
            </w:r>
          </w:p>
        </w:tc>
        <w:tc>
          <w:tcPr>
            <w:tcW w:w="908" w:type="dxa"/>
            <w:vMerge w:val="restart"/>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鱼峰区</w:t>
            </w:r>
          </w:p>
        </w:tc>
        <w:tc>
          <w:tcPr>
            <w:tcW w:w="1147" w:type="dxa"/>
            <w:vMerge w:val="restart"/>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扬尘污染、噪声污染</w:t>
            </w:r>
          </w:p>
        </w:tc>
        <w:tc>
          <w:tcPr>
            <w:tcW w:w="4193" w:type="dxa"/>
            <w:vMerge w:val="restart"/>
            <w:noWrap/>
            <w:vAlign w:val="center"/>
          </w:tcPr>
          <w:p>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经调查，举报内容基本属实。</w:t>
            </w:r>
          </w:p>
          <w:p>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1.编号D2LZ202310250007“小区旁九头山炸山，灰尘很大，污染严重”、编号D2LZ202310250008“白云路九头山采石场下午3至4点炸山采石，粉尘很大”基本属实。</w:t>
            </w:r>
          </w:p>
          <w:p>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2.编号D2LZ202310250007“小区房屋震动”、编号D2LZ202310250008“小区房屋震感强烈”基本属实。</w:t>
            </w:r>
          </w:p>
          <w:p>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3.编号D2LZ202310250008“房屋有开裂现象”基本属实。</w:t>
            </w:r>
          </w:p>
        </w:tc>
        <w:tc>
          <w:tcPr>
            <w:tcW w:w="982" w:type="dxa"/>
            <w:vMerge w:val="restart"/>
            <w:noWrap/>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部分属实</w:t>
            </w:r>
          </w:p>
        </w:tc>
        <w:tc>
          <w:tcPr>
            <w:tcW w:w="2580" w:type="dxa"/>
            <w:vMerge w:val="restart"/>
            <w:noWrap/>
            <w:vAlign w:val="center"/>
          </w:tcPr>
          <w:p>
            <w:pPr>
              <w:widowControl/>
              <w:overflowPunct w:val="0"/>
              <w:adjustRightInd w:val="0"/>
              <w:snapToGrid w:val="0"/>
              <w:rPr>
                <w:rFonts w:ascii="仿宋" w:hAnsi="仿宋" w:eastAsia="仿宋" w:cs="仿宋"/>
                <w:color w:val="000000"/>
                <w:kern w:val="0"/>
                <w:sz w:val="24"/>
              </w:rPr>
            </w:pPr>
            <w:r>
              <w:rPr>
                <w:rFonts w:hint="eastAsia" w:ascii="仿宋" w:hAnsi="仿宋" w:eastAsia="仿宋" w:cs="仿宋"/>
                <w:color w:val="000000"/>
                <w:kern w:val="0"/>
                <w:sz w:val="24"/>
              </w:rPr>
              <w:t>1.优化爆破施工方案和扬尘控制方案。鱼峰区政府督促企业充分考虑周边建筑物结构类型,重新布置振动监测点，多方位监测，确保能够及时发现因爆破引起周边建筑结构不稳定的安全隐患；根据施工进度及作业面的情况增设清扫平台降低爆破塌落高度，减少扬尘的产生。</w:t>
            </w:r>
          </w:p>
          <w:p>
            <w:pPr>
              <w:widowControl/>
              <w:overflowPunct w:val="0"/>
              <w:adjustRightInd w:val="0"/>
              <w:snapToGrid w:val="0"/>
              <w:rPr>
                <w:rFonts w:ascii="仿宋" w:hAnsi="仿宋" w:eastAsia="仿宋" w:cs="仿宋"/>
                <w:color w:val="000000"/>
                <w:kern w:val="0"/>
                <w:sz w:val="24"/>
              </w:rPr>
            </w:pPr>
            <w:r>
              <w:rPr>
                <w:rFonts w:hint="eastAsia" w:ascii="仿宋" w:hAnsi="仿宋" w:eastAsia="仿宋" w:cs="仿宋"/>
                <w:color w:val="000000"/>
                <w:kern w:val="0"/>
                <w:sz w:val="24"/>
              </w:rPr>
              <w:t>2.开展常态化巡查。鱼峰区政府将采取常态化巡查，做好施工现场全过程监管，特别加强对项目施工期间抑尘降尘措施落实情况的监控，发现问题及时督促施工方整改。及时收集项目对爆破山体周边房屋安全的核查信息及处理结果,促进项目周边环境质量得到有效改善，确保毗邻建筑的安全和正常使用。</w:t>
            </w:r>
          </w:p>
          <w:p>
            <w:pPr>
              <w:widowControl/>
              <w:overflowPunct w:val="0"/>
              <w:adjustRightInd w:val="0"/>
              <w:snapToGrid w:val="0"/>
              <w:rPr>
                <w:rFonts w:hint="eastAsia" w:ascii="仿宋" w:hAnsi="仿宋" w:eastAsia="仿宋" w:cs="仿宋"/>
                <w:color w:val="000000"/>
                <w:kern w:val="0"/>
                <w:sz w:val="24"/>
              </w:rPr>
            </w:pPr>
            <w:r>
              <w:rPr>
                <w:rFonts w:hint="eastAsia" w:ascii="仿宋" w:hAnsi="仿宋" w:eastAsia="仿宋" w:cs="仿宋"/>
                <w:color w:val="000000"/>
                <w:kern w:val="0"/>
                <w:sz w:val="24"/>
              </w:rPr>
              <w:t>3.房屋震动及开裂问题由鱼峰区有关部门调查处理。</w:t>
            </w:r>
          </w:p>
        </w:tc>
        <w:tc>
          <w:tcPr>
            <w:tcW w:w="870" w:type="dxa"/>
            <w:vMerge w:val="restart"/>
            <w:noWrap/>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未办结</w:t>
            </w:r>
          </w:p>
        </w:tc>
        <w:tc>
          <w:tcPr>
            <w:tcW w:w="848" w:type="dxa"/>
            <w:vMerge w:val="restart"/>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8" w:type="dxa"/>
            <w:noWrap/>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883"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D2LZ202310250008</w:t>
            </w:r>
          </w:p>
        </w:tc>
        <w:tc>
          <w:tcPr>
            <w:tcW w:w="1913" w:type="dxa"/>
            <w:vMerge w:val="continue"/>
            <w:noWrap/>
            <w:vAlign w:val="center"/>
          </w:tcPr>
          <w:p>
            <w:pPr>
              <w:rPr>
                <w:rFonts w:ascii="仿宋_GB2312" w:hAnsi="仿宋_GB2312" w:eastAsia="仿宋_GB2312" w:cs="仿宋_GB2312"/>
                <w:sz w:val="24"/>
                <w:szCs w:val="24"/>
              </w:rPr>
            </w:pPr>
          </w:p>
        </w:tc>
        <w:tc>
          <w:tcPr>
            <w:tcW w:w="908" w:type="dxa"/>
            <w:vMerge w:val="continue"/>
            <w:noWrap/>
            <w:vAlign w:val="center"/>
          </w:tcPr>
          <w:p>
            <w:pPr>
              <w:jc w:val="center"/>
              <w:rPr>
                <w:rFonts w:ascii="仿宋_GB2312" w:hAnsi="仿宋_GB2312" w:eastAsia="仿宋_GB2312" w:cs="仿宋_GB2312"/>
                <w:sz w:val="24"/>
                <w:szCs w:val="24"/>
              </w:rPr>
            </w:pPr>
          </w:p>
        </w:tc>
        <w:tc>
          <w:tcPr>
            <w:tcW w:w="1147" w:type="dxa"/>
            <w:vMerge w:val="continue"/>
            <w:noWrap/>
            <w:vAlign w:val="center"/>
          </w:tcPr>
          <w:p>
            <w:pPr>
              <w:jc w:val="center"/>
              <w:rPr>
                <w:rFonts w:ascii="仿宋_GB2312" w:hAnsi="仿宋_GB2312" w:eastAsia="仿宋_GB2312" w:cs="仿宋_GB2312"/>
                <w:sz w:val="24"/>
                <w:szCs w:val="24"/>
              </w:rPr>
            </w:pPr>
          </w:p>
        </w:tc>
        <w:tc>
          <w:tcPr>
            <w:tcW w:w="4193" w:type="dxa"/>
            <w:vMerge w:val="continue"/>
            <w:noWrap/>
            <w:vAlign w:val="center"/>
          </w:tcPr>
          <w:p>
            <w:pPr>
              <w:widowControl/>
              <w:overflowPunct w:val="0"/>
              <w:adjustRightInd w:val="0"/>
              <w:snapToGrid w:val="0"/>
              <w:rPr>
                <w:rFonts w:ascii="仿宋_GB2312" w:hAnsi="仿宋_GB2312" w:eastAsia="仿宋_GB2312" w:cs="仿宋_GB2312"/>
                <w:sz w:val="24"/>
                <w:szCs w:val="24"/>
              </w:rPr>
            </w:pPr>
          </w:p>
        </w:tc>
        <w:tc>
          <w:tcPr>
            <w:tcW w:w="982" w:type="dxa"/>
            <w:vMerge w:val="continue"/>
            <w:noWrap/>
            <w:vAlign w:val="center"/>
          </w:tcPr>
          <w:p>
            <w:pPr>
              <w:jc w:val="center"/>
              <w:rPr>
                <w:rFonts w:ascii="仿宋_GB2312" w:hAnsi="仿宋_GB2312" w:eastAsia="仿宋_GB2312" w:cs="仿宋_GB2312"/>
                <w:kern w:val="0"/>
                <w:sz w:val="24"/>
                <w:szCs w:val="24"/>
              </w:rPr>
            </w:pPr>
          </w:p>
        </w:tc>
        <w:tc>
          <w:tcPr>
            <w:tcW w:w="2580" w:type="dxa"/>
            <w:vMerge w:val="continue"/>
            <w:noWrap/>
            <w:vAlign w:val="center"/>
          </w:tcPr>
          <w:p>
            <w:pPr>
              <w:jc w:val="left"/>
              <w:rPr>
                <w:rFonts w:ascii="仿宋_GB2312" w:hAnsi="仿宋_GB2312" w:eastAsia="仿宋_GB2312" w:cs="仿宋_GB2312"/>
                <w:sz w:val="24"/>
                <w:szCs w:val="24"/>
              </w:rPr>
            </w:pPr>
          </w:p>
        </w:tc>
        <w:tc>
          <w:tcPr>
            <w:tcW w:w="870" w:type="dxa"/>
            <w:vMerge w:val="continue"/>
            <w:noWrap/>
            <w:vAlign w:val="center"/>
          </w:tcPr>
          <w:p>
            <w:pPr>
              <w:jc w:val="center"/>
              <w:rPr>
                <w:rFonts w:ascii="仿宋_GB2312" w:hAnsi="仿宋_GB2312" w:eastAsia="仿宋_GB2312" w:cs="仿宋_GB2312"/>
                <w:kern w:val="0"/>
                <w:sz w:val="24"/>
                <w:szCs w:val="24"/>
              </w:rPr>
            </w:pPr>
          </w:p>
        </w:tc>
        <w:tc>
          <w:tcPr>
            <w:tcW w:w="848" w:type="dxa"/>
            <w:vMerge w:val="continue"/>
            <w:noWrap/>
            <w:vAlign w:val="center"/>
          </w:tcPr>
          <w:p>
            <w:pPr>
              <w:jc w:val="center"/>
              <w:rPr>
                <w:rFonts w:ascii="仿宋_GB2312" w:hAnsi="仿宋_GB2312" w:eastAsia="仿宋_GB2312" w:cs="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8" w:type="dxa"/>
            <w:noWrap/>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883"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D2LZ202310250009</w:t>
            </w:r>
          </w:p>
        </w:tc>
        <w:tc>
          <w:tcPr>
            <w:tcW w:w="1913" w:type="dxa"/>
            <w:noWrap/>
            <w:vAlign w:val="center"/>
          </w:tcPr>
          <w:p>
            <w:pPr>
              <w:rPr>
                <w:rFonts w:ascii="仿宋_GB2312" w:hAnsi="仿宋_GB2312" w:eastAsia="仿宋_GB2312" w:cs="仿宋_GB2312"/>
                <w:sz w:val="24"/>
                <w:szCs w:val="24"/>
              </w:rPr>
            </w:pPr>
            <w:r>
              <w:rPr>
                <w:rFonts w:hint="eastAsia" w:ascii="仿宋_GB2312" w:eastAsia="仿宋_GB2312" w:cs="仿宋_GB2312"/>
                <w:sz w:val="24"/>
                <w:szCs w:val="24"/>
              </w:rPr>
              <w:t>柳北区白沙路2号保利大江郡24栋1单元2楼商铺装了12台空调外机，产生噪声、排热风、滴水等问题，影响3楼居民的正常生活和身体健康，投诉至物业也没得到解决。</w:t>
            </w:r>
          </w:p>
        </w:tc>
        <w:tc>
          <w:tcPr>
            <w:tcW w:w="908"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柳北区</w:t>
            </w:r>
          </w:p>
        </w:tc>
        <w:tc>
          <w:tcPr>
            <w:tcW w:w="1147"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噪声污染</w:t>
            </w:r>
          </w:p>
        </w:tc>
        <w:tc>
          <w:tcPr>
            <w:tcW w:w="4193" w:type="dxa"/>
            <w:noWrap/>
            <w:vAlign w:val="center"/>
          </w:tcPr>
          <w:p>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经核实，该信访件部分属实。</w:t>
            </w:r>
          </w:p>
          <w:p>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1.“12台空调外机产生噪声、热风问题，”属实。安装空调外机的商铺为一家店名为“网鱼网咖”的网吧。该网吧在小区内墙上安装空调外机12台，检查时有数台空调外机正在运行，现场未产生较大噪声，空调排放热风属于正常运转现象。</w:t>
            </w:r>
          </w:p>
          <w:p>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2.“12台空调外机产生滴水问题，”不属实。运行的空调外机未发现有滴水现象。</w:t>
            </w:r>
          </w:p>
        </w:tc>
        <w:tc>
          <w:tcPr>
            <w:tcW w:w="982" w:type="dxa"/>
            <w:noWrap/>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部分属实</w:t>
            </w:r>
          </w:p>
        </w:tc>
        <w:tc>
          <w:tcPr>
            <w:tcW w:w="2580" w:type="dxa"/>
            <w:noWrap/>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2023年10月28日上午11点，组织保利物业、网吧法人代表、附近居民召开现场协调会，初步达成一致。网吧将空调外机进行移位处理，请专业技术人员出具移位方案，保利物业负责落实移位场地并全程配合，相关部门和街道社区持续跟进监督，投诉市民表示认同。</w:t>
            </w:r>
          </w:p>
        </w:tc>
        <w:tc>
          <w:tcPr>
            <w:tcW w:w="870" w:type="dxa"/>
            <w:noWrap/>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阶段性办结</w:t>
            </w:r>
          </w:p>
        </w:tc>
        <w:tc>
          <w:tcPr>
            <w:tcW w:w="848"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无</w:t>
            </w:r>
          </w:p>
        </w:tc>
      </w:tr>
    </w:tbl>
    <w:p/>
    <w:sectPr>
      <w:pgSz w:w="16838" w:h="11906" w:orient="landscape"/>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Helvetica Neue">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FmMzY4ODA2MzVlNTBmOGIwYjY1M2Y3N2NmZWE2ODIifQ=="/>
  </w:docVars>
  <w:rsids>
    <w:rsidRoot w:val="40904542"/>
    <w:rsid w:val="00126069"/>
    <w:rsid w:val="001D6B68"/>
    <w:rsid w:val="001F4C72"/>
    <w:rsid w:val="00272507"/>
    <w:rsid w:val="005B1EBC"/>
    <w:rsid w:val="005F6C3A"/>
    <w:rsid w:val="006607D6"/>
    <w:rsid w:val="006C7528"/>
    <w:rsid w:val="006F54C4"/>
    <w:rsid w:val="007C4C6A"/>
    <w:rsid w:val="007D4179"/>
    <w:rsid w:val="00833EE0"/>
    <w:rsid w:val="009F1E52"/>
    <w:rsid w:val="00AA38C8"/>
    <w:rsid w:val="00B05A02"/>
    <w:rsid w:val="00BB2182"/>
    <w:rsid w:val="00CA3553"/>
    <w:rsid w:val="00D90848"/>
    <w:rsid w:val="00DA0C27"/>
    <w:rsid w:val="00E145A1"/>
    <w:rsid w:val="00EA2DBD"/>
    <w:rsid w:val="00EB1290"/>
    <w:rsid w:val="00EF6B9E"/>
    <w:rsid w:val="02817F6D"/>
    <w:rsid w:val="08C63215"/>
    <w:rsid w:val="0A6E2124"/>
    <w:rsid w:val="0F0C0596"/>
    <w:rsid w:val="109D1177"/>
    <w:rsid w:val="12A80A21"/>
    <w:rsid w:val="16191538"/>
    <w:rsid w:val="18C009DB"/>
    <w:rsid w:val="20163873"/>
    <w:rsid w:val="249F0722"/>
    <w:rsid w:val="255F07E0"/>
    <w:rsid w:val="2AC3556A"/>
    <w:rsid w:val="2BE36297"/>
    <w:rsid w:val="2CEF275A"/>
    <w:rsid w:val="312874D9"/>
    <w:rsid w:val="33F955F3"/>
    <w:rsid w:val="34041CE3"/>
    <w:rsid w:val="3AE66DBE"/>
    <w:rsid w:val="3CE430AB"/>
    <w:rsid w:val="3E917F0D"/>
    <w:rsid w:val="3EB427C6"/>
    <w:rsid w:val="3FAD6C9B"/>
    <w:rsid w:val="40904542"/>
    <w:rsid w:val="434B1776"/>
    <w:rsid w:val="4AEC6CB1"/>
    <w:rsid w:val="4E99704A"/>
    <w:rsid w:val="4EE43B8A"/>
    <w:rsid w:val="4F4855D7"/>
    <w:rsid w:val="531E28B1"/>
    <w:rsid w:val="56EBE3DE"/>
    <w:rsid w:val="5CD11E85"/>
    <w:rsid w:val="5CE7CC91"/>
    <w:rsid w:val="60C07143"/>
    <w:rsid w:val="63977056"/>
    <w:rsid w:val="6AE21C1B"/>
    <w:rsid w:val="6C7A22BA"/>
    <w:rsid w:val="6CD93171"/>
    <w:rsid w:val="6CF11ECC"/>
    <w:rsid w:val="6D3B7BEA"/>
    <w:rsid w:val="733FF764"/>
    <w:rsid w:val="749035EB"/>
    <w:rsid w:val="76061185"/>
    <w:rsid w:val="78DE4596"/>
    <w:rsid w:val="7A506EB7"/>
    <w:rsid w:val="7C95557C"/>
    <w:rsid w:val="7D9B1948"/>
    <w:rsid w:val="7DF71734"/>
    <w:rsid w:val="7FB35BA1"/>
    <w:rsid w:val="7FF73C87"/>
    <w:rsid w:val="ECE7AC40"/>
    <w:rsid w:val="EE3B806B"/>
    <w:rsid w:val="F17B9F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6">
    <w:name w:val="heading 1"/>
    <w:basedOn w:val="1"/>
    <w:next w:val="1"/>
    <w:qFormat/>
    <w:uiPriority w:val="0"/>
    <w:pPr>
      <w:keepNext/>
      <w:keepLines/>
      <w:spacing w:line="520" w:lineRule="exact"/>
      <w:outlineLvl w:val="0"/>
    </w:pPr>
    <w:rPr>
      <w:rFonts w:ascii="Times New Roman" w:hAnsi="Times New Roman"/>
      <w:b/>
      <w:kern w:val="44"/>
      <w:sz w:val="36"/>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customStyle="1" w:styleId="2">
    <w:name w:val="Default"/>
    <w:basedOn w:val="3"/>
    <w:next w:val="4"/>
    <w:qFormat/>
    <w:uiPriority w:val="0"/>
    <w:pPr>
      <w:widowControl w:val="0"/>
      <w:autoSpaceDE w:val="0"/>
      <w:autoSpaceDN w:val="0"/>
      <w:adjustRightInd w:val="0"/>
    </w:pPr>
    <w:rPr>
      <w:rFonts w:ascii="新宋体" w:hAnsi="Times New Roman" w:eastAsia="新宋体" w:cs="新宋体"/>
      <w:color w:val="000000"/>
      <w:szCs w:val="24"/>
      <w:lang w:eastAsia="zh-CN"/>
    </w:rPr>
  </w:style>
  <w:style w:type="paragraph" w:customStyle="1" w:styleId="3">
    <w:name w:val="Char Char Char"/>
    <w:qFormat/>
    <w:uiPriority w:val="0"/>
    <w:pPr>
      <w:spacing w:after="160" w:line="240" w:lineRule="exact"/>
      <w:ind w:firstLine="883"/>
    </w:pPr>
    <w:rPr>
      <w:rFonts w:ascii="Tahoma" w:hAnsi="Tahoma" w:eastAsia="仿宋_GB2312" w:cs="Times New Roman"/>
      <w:sz w:val="24"/>
      <w:szCs w:val="30"/>
      <w:lang w:val="en-US" w:eastAsia="en-US" w:bidi="ar-SA"/>
    </w:rPr>
  </w:style>
  <w:style w:type="paragraph" w:customStyle="1" w:styleId="4">
    <w:name w:val="索引 61"/>
    <w:basedOn w:val="5"/>
    <w:next w:val="5"/>
    <w:qFormat/>
    <w:uiPriority w:val="0"/>
    <w:pPr>
      <w:ind w:left="2100"/>
    </w:pPr>
    <w:rPr>
      <w:rFonts w:ascii="Times New Roman" w:hAnsi="Times New Roman"/>
    </w:rPr>
  </w:style>
  <w:style w:type="paragraph" w:customStyle="1" w:styleId="5">
    <w:name w:val="正文11"/>
    <w:next w:val="2"/>
    <w:qFormat/>
    <w:uiPriority w:val="0"/>
    <w:pPr>
      <w:widowControl w:val="0"/>
      <w:jc w:val="both"/>
    </w:pPr>
    <w:rPr>
      <w:rFonts w:ascii="Calibri" w:hAnsi="Calibri" w:eastAsia="宋体" w:cs="Times New Roman"/>
      <w:sz w:val="21"/>
      <w:szCs w:val="24"/>
      <w:lang w:val="en-US" w:eastAsia="zh-CN" w:bidi="ar-SA"/>
    </w:rPr>
  </w:style>
  <w:style w:type="paragraph" w:styleId="7">
    <w:name w:val="annotation text"/>
    <w:basedOn w:val="1"/>
    <w:next w:val="8"/>
    <w:qFormat/>
    <w:uiPriority w:val="0"/>
    <w:pPr>
      <w:ind w:firstLine="5120"/>
    </w:pPr>
  </w:style>
  <w:style w:type="paragraph" w:styleId="8">
    <w:name w:val="footer"/>
    <w:basedOn w:val="1"/>
    <w:next w:val="9"/>
    <w:qFormat/>
    <w:uiPriority w:val="99"/>
    <w:pPr>
      <w:tabs>
        <w:tab w:val="center" w:pos="4153"/>
        <w:tab w:val="right" w:pos="8306"/>
      </w:tabs>
      <w:snapToGrid w:val="0"/>
      <w:jc w:val="left"/>
    </w:pPr>
    <w:rPr>
      <w:sz w:val="18"/>
      <w:szCs w:val="18"/>
    </w:rPr>
  </w:style>
  <w:style w:type="paragraph" w:styleId="9">
    <w:name w:val="Date"/>
    <w:basedOn w:val="1"/>
    <w:next w:val="1"/>
    <w:qFormat/>
    <w:uiPriority w:val="99"/>
    <w:pPr>
      <w:ind w:left="100" w:leftChars="2500"/>
    </w:pPr>
  </w:style>
  <w:style w:type="paragraph" w:styleId="10">
    <w:name w:val="Body Text"/>
    <w:basedOn w:val="1"/>
    <w:next w:val="11"/>
    <w:link w:val="19"/>
    <w:unhideWhenUsed/>
    <w:qFormat/>
    <w:uiPriority w:val="1"/>
    <w:pPr>
      <w:spacing w:before="102"/>
      <w:ind w:left="1706"/>
    </w:pPr>
    <w:rPr>
      <w:rFonts w:ascii="仿宋_GB2312" w:hAnsi="仿宋_GB2312" w:eastAsia="仿宋_GB2312"/>
      <w:sz w:val="32"/>
    </w:rPr>
  </w:style>
  <w:style w:type="paragraph" w:customStyle="1" w:styleId="11">
    <w:name w:val="页眉与页脚"/>
    <w:next w:val="7"/>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paragraph" w:styleId="12">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3">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kern w:val="0"/>
      <w:sz w:val="24"/>
      <w:szCs w:val="24"/>
    </w:rPr>
  </w:style>
  <w:style w:type="paragraph" w:styleId="14">
    <w:name w:val="Title"/>
    <w:basedOn w:val="1"/>
    <w:next w:val="1"/>
    <w:qFormat/>
    <w:uiPriority w:val="0"/>
    <w:pPr>
      <w:spacing w:before="240" w:after="60"/>
      <w:jc w:val="center"/>
      <w:outlineLvl w:val="0"/>
    </w:pPr>
    <w:rPr>
      <w:rFonts w:ascii="Cambria" w:hAnsi="Cambria" w:eastAsia="方正小标宋简体"/>
      <w:bCs/>
      <w:sz w:val="44"/>
      <w:szCs w:val="32"/>
    </w:rPr>
  </w:style>
  <w:style w:type="paragraph" w:styleId="15">
    <w:name w:val="Body Text First Indent"/>
    <w:basedOn w:val="10"/>
    <w:link w:val="20"/>
    <w:qFormat/>
    <w:uiPriority w:val="0"/>
    <w:pPr>
      <w:spacing w:line="360" w:lineRule="auto"/>
      <w:ind w:firstLine="720" w:firstLineChars="200"/>
      <w:jc w:val="left"/>
    </w:pPr>
    <w:rPr>
      <w:rFonts w:ascii="Calibri" w:hAnsi="Calibri" w:eastAsia="Calibri"/>
      <w:color w:val="000000"/>
      <w:kern w:val="0"/>
      <w:sz w:val="20"/>
      <w:szCs w:val="21"/>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
    <w:name w:val="正文文本 字符"/>
    <w:basedOn w:val="18"/>
    <w:link w:val="10"/>
    <w:qFormat/>
    <w:uiPriority w:val="0"/>
    <w:rPr>
      <w:rFonts w:hint="default" w:ascii="Calibri" w:hAnsi="Calibri" w:cs="Calibri"/>
      <w:kern w:val="2"/>
      <w:sz w:val="21"/>
      <w:szCs w:val="22"/>
    </w:rPr>
  </w:style>
  <w:style w:type="character" w:customStyle="1" w:styleId="20">
    <w:name w:val="正文文本首行缩进 字符"/>
    <w:basedOn w:val="19"/>
    <w:link w:val="15"/>
    <w:qFormat/>
    <w:uiPriority w:val="0"/>
    <w:rPr>
      <w:rFonts w:hint="default" w:ascii="Calibri" w:hAnsi="Calibri" w:cs="Calibri"/>
      <w:kern w:val="2"/>
      <w:sz w:val="21"/>
      <w:szCs w:val="22"/>
    </w:rPr>
  </w:style>
  <w:style w:type="character" w:customStyle="1" w:styleId="21">
    <w:name w:val="页眉 字符"/>
    <w:basedOn w:val="18"/>
    <w:link w:val="1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537</Words>
  <Characters>3066</Characters>
  <Lines>25</Lines>
  <Paragraphs>7</Paragraphs>
  <TotalTime>22</TotalTime>
  <ScaleCrop>false</ScaleCrop>
  <LinksUpToDate>false</LinksUpToDate>
  <CharactersWithSpaces>3596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2023-10-31T02:42:00Z</dcterms:created>
  <dc:creator>Lance</dc:creator>
  <cp:lastModifiedBy>覃友</cp:lastModifiedBy>
  <cp:lastPrinted>2023-10-21T11:09:00Z</cp:lastPrinted>
  <dcterms:modified xsi:type="dcterms:W3CDTF">2023-11-07T08:38:09Z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D479128795524B26B4FA130D9C17BF85_13</vt:lpwstr>
  </property>
</Properties>
</file>