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（第三批   2023年10月23日）</w:t>
      </w:r>
    </w:p>
    <w:tbl>
      <w:tblPr>
        <w:tblStyle w:val="10"/>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38"/>
        <w:gridCol w:w="111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38" w:type="dxa"/>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17" w:type="dxa"/>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vAlign w:val="center"/>
          </w:tcPr>
          <w:p>
            <w:pPr>
              <w:jc w:val="center"/>
              <w:rPr>
                <w:rFonts w:ascii="仿宋_GB2312" w:hAnsi="仿宋_GB2312" w:eastAsia="仿宋_GB2312" w:cs="仿宋_GB2312"/>
                <w:sz w:val="24"/>
                <w:szCs w:val="24"/>
              </w:rPr>
            </w:pPr>
            <w:r>
              <w:rPr>
                <w:rFonts w:hint="eastAsia" w:ascii="仿宋" w:hAnsi="仿宋" w:eastAsia="仿宋" w:cs="仿宋"/>
                <w:sz w:val="24"/>
                <w:szCs w:val="24"/>
                <w:lang w:bidi="ar"/>
              </w:rPr>
              <w:t>D2LZ202310120001</w:t>
            </w:r>
          </w:p>
        </w:tc>
        <w:tc>
          <w:tcPr>
            <w:tcW w:w="1913" w:type="dxa"/>
            <w:vAlign w:val="center"/>
          </w:tcPr>
          <w:p>
            <w:pPr>
              <w:rPr>
                <w:rFonts w:ascii="仿宋_GB2312" w:hAnsi="仿宋_GB2312" w:eastAsia="仿宋_GB2312" w:cs="仿宋_GB2312"/>
                <w:sz w:val="24"/>
                <w:szCs w:val="24"/>
              </w:rPr>
            </w:pPr>
            <w:r>
              <w:rPr>
                <w:rFonts w:hint="eastAsia" w:ascii="仿宋" w:hAnsi="仿宋" w:eastAsia="仿宋" w:cs="仿宋"/>
                <w:sz w:val="24"/>
                <w:szCs w:val="24"/>
                <w:lang w:bidi="ar"/>
              </w:rPr>
              <w:t>柳东新区荣和公园墅小区居民反映小区旁沁园纸业10月12日1时排放有异味废气，影响居民正常生活。市生态环境局已于昨日（10月11日）向居民公布相关监测数据（数据达标），但该居民对于监测数据持怀疑态度，要求在企业排放废气期间并在小区居民监督下进行监测，另需督促企业进行整改，保证所排放气体无异味。</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w:t>
            </w:r>
          </w:p>
        </w:tc>
        <w:tc>
          <w:tcPr>
            <w:tcW w:w="1117"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widowControl/>
              <w:overflowPunct w:val="0"/>
              <w:adjustRightInd w:val="0"/>
              <w:snapToGrid w:val="0"/>
              <w:rPr>
                <w:rFonts w:ascii="仿宋" w:hAnsi="仿宋" w:eastAsia="仿宋" w:cs="仿宋"/>
                <w:kern w:val="0"/>
                <w:sz w:val="24"/>
                <w:szCs w:val="24"/>
              </w:rPr>
            </w:pPr>
            <w:r>
              <w:rPr>
                <w:rFonts w:hint="eastAsia" w:ascii="仿宋" w:hAnsi="仿宋" w:eastAsia="仿宋" w:cs="仿宋"/>
                <w:kern w:val="0"/>
                <w:sz w:val="24"/>
                <w:szCs w:val="24"/>
                <w:lang w:bidi="ar"/>
              </w:rPr>
              <w:t>经核查，所反映“柳东新区荣和公园墅小区旁沁园纸业10月12日1时点排放有异味废气，影响居民正常生活”情况属实。</w:t>
            </w:r>
          </w:p>
          <w:p>
            <w:pPr>
              <w:widowControl/>
              <w:jc w:val="left"/>
              <w:rPr>
                <w:rFonts w:ascii="仿宋_GB2312" w:hAnsi="仿宋_GB2312" w:eastAsia="仿宋_GB2312" w:cs="仿宋_GB2312"/>
                <w:sz w:val="24"/>
                <w:szCs w:val="24"/>
              </w:rPr>
            </w:pPr>
            <w:r>
              <w:rPr>
                <w:rFonts w:hint="eastAsia" w:ascii="仿宋" w:hAnsi="仿宋" w:eastAsia="仿宋" w:cs="仿宋"/>
                <w:sz w:val="24"/>
                <w:szCs w:val="24"/>
                <w:lang w:bidi="ar"/>
              </w:rPr>
              <w:t>对反映的“另需督促企业进行整改，保证所排放气体无异味”情况，柳东新区管委会分别委托广西中圳检测技术有限公司（以下简称中圳检测）和广西保利环境监测有限公司（以下简称保利检测）开展监测。监测结果均未出现臭气超标。</w:t>
            </w:r>
          </w:p>
        </w:tc>
        <w:tc>
          <w:tcPr>
            <w:tcW w:w="982" w:type="dxa"/>
            <w:vAlign w:val="center"/>
          </w:tcPr>
          <w:p>
            <w:pPr>
              <w:widowControl/>
              <w:overflowPunct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vAlign w:val="center"/>
          </w:tcPr>
          <w:p>
            <w:pPr>
              <w:overflowPunct w:val="0"/>
              <w:adjustRightInd w:val="0"/>
              <w:snapToGrid w:val="0"/>
              <w:rPr>
                <w:rFonts w:ascii="仿宋" w:hAnsi="仿宋" w:eastAsia="仿宋" w:cs="仿宋"/>
                <w:kern w:val="0"/>
                <w:sz w:val="24"/>
                <w:szCs w:val="24"/>
              </w:rPr>
            </w:pPr>
            <w:r>
              <w:rPr>
                <w:rFonts w:hint="eastAsia" w:ascii="仿宋" w:hAnsi="仿宋" w:eastAsia="仿宋" w:cs="仿宋"/>
                <w:kern w:val="0"/>
                <w:sz w:val="24"/>
                <w:szCs w:val="24"/>
                <w:lang w:bidi="ar"/>
              </w:rPr>
              <w:t>1.近期再次组织对沁原纸业的监测，将协调自治区柳州生态环境监测中心（自治区生态环境厅的直属单位）实施；</w:t>
            </w:r>
          </w:p>
          <w:p>
            <w:pPr>
              <w:overflowPunct w:val="0"/>
              <w:adjustRightInd w:val="0"/>
              <w:snapToGrid w:val="0"/>
              <w:rPr>
                <w:rFonts w:ascii="仿宋" w:hAnsi="仿宋" w:eastAsia="仿宋" w:cs="仿宋"/>
                <w:kern w:val="0"/>
                <w:sz w:val="24"/>
                <w:szCs w:val="24"/>
              </w:rPr>
            </w:pPr>
            <w:r>
              <w:rPr>
                <w:rFonts w:hint="eastAsia" w:ascii="仿宋" w:hAnsi="仿宋" w:eastAsia="仿宋" w:cs="仿宋"/>
                <w:kern w:val="0"/>
                <w:sz w:val="24"/>
                <w:szCs w:val="24"/>
                <w:lang w:bidi="ar"/>
              </w:rPr>
              <w:t>2.监测时邀请投诉较多的小区居民参加；</w:t>
            </w:r>
          </w:p>
          <w:p>
            <w:pPr>
              <w:widowControl/>
              <w:jc w:val="left"/>
            </w:pPr>
            <w:r>
              <w:rPr>
                <w:rFonts w:hint="eastAsia" w:ascii="仿宋" w:hAnsi="仿宋" w:eastAsia="仿宋" w:cs="仿宋"/>
                <w:sz w:val="24"/>
                <w:szCs w:val="24"/>
                <w:lang w:bidi="ar"/>
              </w:rPr>
              <w:t>3.监测时间由居民确定。</w:t>
            </w:r>
          </w:p>
          <w:p>
            <w:pPr>
              <w:jc w:val="left"/>
              <w:rPr>
                <w:rFonts w:ascii="仿宋_GB2312" w:hAnsi="仿宋_GB2312" w:eastAsia="仿宋_GB2312" w:cs="仿宋_GB2312"/>
                <w:sz w:val="24"/>
                <w:szCs w:val="24"/>
              </w:rPr>
            </w:pPr>
          </w:p>
        </w:tc>
        <w:tc>
          <w:tcPr>
            <w:tcW w:w="870"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未办结</w:t>
            </w:r>
          </w:p>
        </w:tc>
        <w:tc>
          <w:tcPr>
            <w:tcW w:w="84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D2LZ202310120002</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融水苗族自治县盛泰小区</w:t>
            </w:r>
            <w:r>
              <w:rPr>
                <w:rFonts w:ascii="Times New Roman" w:hAnsi="Times New Roman" w:eastAsia="仿宋"/>
                <w:sz w:val="24"/>
                <w:szCs w:val="24"/>
                <w:lang w:bidi="ar"/>
              </w:rPr>
              <w:t>1</w:t>
            </w:r>
            <w:r>
              <w:rPr>
                <w:rFonts w:hint="eastAsia" w:ascii="Times New Roman" w:hAnsi="Times New Roman" w:eastAsia="仿宋"/>
                <w:sz w:val="24"/>
                <w:szCs w:val="24"/>
                <w:lang w:bidi="ar"/>
              </w:rPr>
              <w:t>栋</w:t>
            </w:r>
            <w:r>
              <w:rPr>
                <w:rFonts w:ascii="Times New Roman" w:hAnsi="Times New Roman" w:eastAsia="仿宋"/>
                <w:sz w:val="24"/>
                <w:szCs w:val="24"/>
                <w:lang w:bidi="ar"/>
              </w:rPr>
              <w:t>2</w:t>
            </w:r>
            <w:r>
              <w:rPr>
                <w:rFonts w:hint="eastAsia" w:ascii="Times New Roman" w:hAnsi="Times New Roman" w:eastAsia="仿宋"/>
                <w:sz w:val="24"/>
                <w:szCs w:val="24"/>
                <w:lang w:bidi="ar"/>
              </w:rPr>
              <w:t>单元顶楼居民反映，中国铁塔公司未经小区居民同意擅自在该楼楼顶安装</w:t>
            </w:r>
            <w:r>
              <w:rPr>
                <w:rFonts w:ascii="Times New Roman" w:hAnsi="Times New Roman" w:eastAsia="仿宋"/>
                <w:sz w:val="24"/>
                <w:szCs w:val="24"/>
                <w:lang w:bidi="ar"/>
              </w:rPr>
              <w:t>6</w:t>
            </w:r>
            <w:r>
              <w:rPr>
                <w:rFonts w:hint="eastAsia" w:ascii="Times New Roman" w:hAnsi="Times New Roman" w:eastAsia="仿宋"/>
                <w:sz w:val="24"/>
                <w:szCs w:val="24"/>
                <w:lang w:bidi="ar"/>
              </w:rPr>
              <w:t>组信号塔。因信号塔设备运行时产生较大电流声，夜间尤为明显，使得居住在顶楼的居民无法正常入睡。投诉人希望将该设备拆除。</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融水苗族自治县</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vAlign w:val="center"/>
          </w:tcPr>
          <w:p>
            <w:pPr>
              <w:widowControl/>
              <w:overflowPunct w:val="0"/>
              <w:adjustRightInd w:val="0"/>
              <w:snapToGrid w:val="0"/>
              <w:rPr>
                <w:rFonts w:eastAsia="仿宋_GB2312"/>
                <w:kern w:val="0"/>
                <w:sz w:val="24"/>
                <w:szCs w:val="24"/>
              </w:rPr>
            </w:pPr>
            <w:r>
              <w:rPr>
                <w:rFonts w:ascii="Times New Roman" w:hAnsi="Times New Roman" w:eastAsia="仿宋_GB2312"/>
                <w:kern w:val="0"/>
                <w:sz w:val="24"/>
                <w:szCs w:val="24"/>
                <w:lang w:bidi="ar"/>
              </w:rPr>
              <w:t>2023</w:t>
            </w:r>
            <w:r>
              <w:rPr>
                <w:rFonts w:hint="eastAsia" w:ascii="Times New Roman" w:hAnsi="Times New Roman" w:eastAsia="仿宋_GB2312" w:cs="仿宋_GB2312"/>
                <w:kern w:val="0"/>
                <w:sz w:val="24"/>
                <w:szCs w:val="24"/>
                <w:lang w:bidi="ar"/>
              </w:rPr>
              <w:t>年</w:t>
            </w:r>
            <w:r>
              <w:rPr>
                <w:rFonts w:ascii="Times New Roman" w:hAnsi="Times New Roman" w:eastAsia="仿宋_GB2312"/>
                <w:kern w:val="0"/>
                <w:sz w:val="24"/>
                <w:szCs w:val="24"/>
                <w:lang w:bidi="ar"/>
              </w:rPr>
              <w:t>10</w:t>
            </w:r>
            <w:r>
              <w:rPr>
                <w:rFonts w:hint="eastAsia" w:ascii="Times New Roman" w:hAnsi="Times New Roman" w:eastAsia="仿宋_GB2312" w:cs="仿宋_GB2312"/>
                <w:kern w:val="0"/>
                <w:sz w:val="24"/>
                <w:szCs w:val="24"/>
                <w:lang w:bidi="ar"/>
              </w:rPr>
              <w:t>月</w:t>
            </w:r>
            <w:r>
              <w:rPr>
                <w:rFonts w:ascii="Times New Roman" w:hAnsi="Times New Roman" w:eastAsia="仿宋_GB2312"/>
                <w:kern w:val="0"/>
                <w:sz w:val="24"/>
                <w:szCs w:val="24"/>
                <w:lang w:bidi="ar"/>
              </w:rPr>
              <w:t>13</w:t>
            </w:r>
            <w:r>
              <w:rPr>
                <w:rFonts w:hint="eastAsia" w:ascii="Times New Roman" w:hAnsi="Times New Roman" w:eastAsia="仿宋_GB2312" w:cs="仿宋_GB2312"/>
                <w:kern w:val="0"/>
                <w:sz w:val="24"/>
                <w:szCs w:val="24"/>
                <w:lang w:bidi="ar"/>
              </w:rPr>
              <w:t>日，经调查，铁塔公司建设该基站时，与融水苗族自治县盛泰居小区</w:t>
            </w:r>
            <w:r>
              <w:rPr>
                <w:rFonts w:ascii="Times New Roman" w:hAnsi="Times New Roman" w:eastAsia="仿宋_GB2312"/>
                <w:kern w:val="0"/>
                <w:sz w:val="24"/>
                <w:szCs w:val="24"/>
                <w:lang w:bidi="ar"/>
              </w:rPr>
              <w:t>8</w:t>
            </w:r>
            <w:r>
              <w:rPr>
                <w:rFonts w:hint="eastAsia" w:ascii="Times New Roman" w:hAnsi="Times New Roman" w:eastAsia="仿宋_GB2312" w:cs="仿宋_GB2312"/>
                <w:kern w:val="0"/>
                <w:sz w:val="24"/>
                <w:szCs w:val="24"/>
                <w:lang w:bidi="ar"/>
              </w:rPr>
              <w:t>楼杂物间购买人签订了基站场地租赁合同。柳州市生态环境局委托有资质第三方监测公司进行监测，监测报告显示位于盛泰居顶楼处监测点噪声监测值为</w:t>
            </w:r>
            <w:r>
              <w:rPr>
                <w:rFonts w:ascii="Times New Roman" w:hAnsi="Times New Roman" w:eastAsia="仿宋_GB2312"/>
                <w:kern w:val="0"/>
                <w:sz w:val="24"/>
                <w:szCs w:val="24"/>
                <w:lang w:bidi="ar"/>
              </w:rPr>
              <w:t>42dB(A)</w:t>
            </w:r>
            <w:r>
              <w:rPr>
                <w:rFonts w:hint="eastAsia" w:ascii="Times New Roman" w:hAnsi="Times New Roman" w:eastAsia="仿宋_GB2312" w:cs="仿宋_GB2312"/>
                <w:kern w:val="0"/>
                <w:sz w:val="24"/>
                <w:szCs w:val="24"/>
                <w:lang w:bidi="ar"/>
              </w:rPr>
              <w:t>，位于盛泰居</w:t>
            </w:r>
            <w:r>
              <w:rPr>
                <w:rFonts w:ascii="Times New Roman" w:hAnsi="Times New Roman" w:eastAsia="仿宋_GB2312"/>
                <w:kern w:val="0"/>
                <w:sz w:val="24"/>
                <w:szCs w:val="24"/>
                <w:lang w:bidi="ar"/>
              </w:rPr>
              <w:t>7</w:t>
            </w:r>
            <w:r>
              <w:rPr>
                <w:rFonts w:hint="eastAsia" w:ascii="Times New Roman" w:hAnsi="Times New Roman" w:eastAsia="仿宋_GB2312" w:cs="仿宋_GB2312"/>
                <w:kern w:val="0"/>
                <w:sz w:val="24"/>
                <w:szCs w:val="24"/>
                <w:lang w:bidi="ar"/>
              </w:rPr>
              <w:t>楼住户阳台窗户外</w:t>
            </w:r>
            <w:r>
              <w:rPr>
                <w:rFonts w:ascii="Times New Roman" w:hAnsi="Times New Roman" w:eastAsia="仿宋_GB2312"/>
                <w:kern w:val="0"/>
                <w:sz w:val="24"/>
                <w:szCs w:val="24"/>
                <w:lang w:bidi="ar"/>
              </w:rPr>
              <w:t>1</w:t>
            </w:r>
            <w:r>
              <w:rPr>
                <w:rFonts w:hint="eastAsia" w:ascii="Times New Roman" w:hAnsi="Times New Roman" w:eastAsia="仿宋_GB2312" w:cs="仿宋_GB2312"/>
                <w:kern w:val="0"/>
                <w:sz w:val="24"/>
                <w:szCs w:val="24"/>
                <w:lang w:bidi="ar"/>
              </w:rPr>
              <w:t>米处监测点噪声监测值为</w:t>
            </w:r>
            <w:r>
              <w:rPr>
                <w:rFonts w:ascii="Times New Roman" w:hAnsi="Times New Roman" w:eastAsia="仿宋_GB2312"/>
                <w:kern w:val="0"/>
                <w:sz w:val="24"/>
                <w:szCs w:val="24"/>
                <w:lang w:bidi="ar"/>
              </w:rPr>
              <w:t>47dB(A)</w:t>
            </w:r>
            <w:r>
              <w:rPr>
                <w:rFonts w:hint="eastAsia" w:ascii="Times New Roman" w:hAnsi="Times New Roman" w:eastAsia="仿宋_GB2312" w:cs="仿宋_GB2312"/>
                <w:kern w:val="0"/>
                <w:sz w:val="24"/>
                <w:szCs w:val="24"/>
                <w:lang w:bidi="ar"/>
              </w:rPr>
              <w:t>，低于《社会生活环境噪声排放标准（</w:t>
            </w:r>
            <w:r>
              <w:rPr>
                <w:rFonts w:ascii="Times New Roman" w:hAnsi="Times New Roman" w:eastAsia="仿宋_GB2312"/>
                <w:kern w:val="0"/>
                <w:sz w:val="24"/>
                <w:szCs w:val="24"/>
                <w:lang w:bidi="ar"/>
              </w:rPr>
              <w:t>GB 22337—2008</w:t>
            </w:r>
            <w:r>
              <w:rPr>
                <w:rFonts w:hint="eastAsia" w:ascii="Times New Roman" w:hAnsi="Times New Roman" w:eastAsia="仿宋_GB2312" w:cs="仿宋_GB2312"/>
                <w:kern w:val="0"/>
                <w:sz w:val="24"/>
                <w:szCs w:val="24"/>
                <w:lang w:bidi="ar"/>
              </w:rPr>
              <w:t>）表</w:t>
            </w:r>
            <w:r>
              <w:rPr>
                <w:rFonts w:ascii="Times New Roman" w:hAnsi="Times New Roman" w:eastAsia="仿宋_GB2312"/>
                <w:kern w:val="0"/>
                <w:sz w:val="24"/>
                <w:szCs w:val="24"/>
                <w:lang w:bidi="ar"/>
              </w:rPr>
              <w:t>1</w:t>
            </w:r>
            <w:r>
              <w:rPr>
                <w:rFonts w:hint="eastAsia" w:ascii="Times New Roman" w:hAnsi="Times New Roman" w:eastAsia="仿宋_GB2312" w:cs="仿宋_GB2312"/>
                <w:kern w:val="0"/>
                <w:sz w:val="24"/>
                <w:szCs w:val="24"/>
                <w:lang w:bidi="ar"/>
              </w:rPr>
              <w:t>中</w:t>
            </w:r>
            <w:r>
              <w:rPr>
                <w:rFonts w:ascii="Times New Roman" w:hAnsi="Times New Roman" w:eastAsia="仿宋_GB2312"/>
                <w:kern w:val="0"/>
                <w:sz w:val="24"/>
                <w:szCs w:val="24"/>
                <w:lang w:bidi="ar"/>
              </w:rPr>
              <w:t>2</w:t>
            </w:r>
            <w:r>
              <w:rPr>
                <w:rFonts w:hint="eastAsia" w:ascii="Times New Roman" w:hAnsi="Times New Roman" w:eastAsia="仿宋_GB2312" w:cs="仿宋_GB2312"/>
                <w:kern w:val="0"/>
                <w:sz w:val="24"/>
                <w:szCs w:val="24"/>
                <w:lang w:bidi="ar"/>
              </w:rPr>
              <w:t>类功能区排放标准限值的</w:t>
            </w:r>
            <w:r>
              <w:rPr>
                <w:rFonts w:ascii="Times New Roman" w:hAnsi="Times New Roman" w:eastAsia="仿宋_GB2312"/>
                <w:kern w:val="0"/>
                <w:sz w:val="24"/>
                <w:szCs w:val="24"/>
                <w:lang w:bidi="ar"/>
              </w:rPr>
              <w:t>60dB(A)</w:t>
            </w:r>
            <w:r>
              <w:rPr>
                <w:rFonts w:hint="eastAsia" w:ascii="Times New Roman" w:hAnsi="Times New Roman" w:eastAsia="仿宋_GB2312" w:cs="仿宋_GB2312"/>
                <w:kern w:val="0"/>
                <w:sz w:val="24"/>
                <w:szCs w:val="24"/>
                <w:lang w:bidi="ar"/>
              </w:rPr>
              <w:t>。且日间噪声监测值低于排放标准规定夜间限值的</w:t>
            </w:r>
            <w:r>
              <w:rPr>
                <w:rFonts w:ascii="Times New Roman" w:hAnsi="Times New Roman" w:eastAsia="仿宋_GB2312"/>
                <w:kern w:val="0"/>
                <w:sz w:val="24"/>
                <w:szCs w:val="24"/>
                <w:lang w:bidi="ar"/>
              </w:rPr>
              <w:t>50dB(A)</w:t>
            </w:r>
            <w:r>
              <w:rPr>
                <w:rFonts w:hint="eastAsia" w:ascii="Times New Roman" w:hAnsi="Times New Roman" w:eastAsia="仿宋_GB2312" w:cs="仿宋_GB2312"/>
                <w:kern w:val="0"/>
                <w:sz w:val="24"/>
                <w:szCs w:val="24"/>
                <w:lang w:bidi="ar"/>
              </w:rPr>
              <w:t>。</w:t>
            </w:r>
          </w:p>
          <w:p>
            <w:pPr>
              <w:widowControl/>
              <w:jc w:val="left"/>
              <w:rPr>
                <w:rFonts w:ascii="仿宋_GB2312" w:hAnsi="仿宋_GB2312" w:eastAsia="仿宋_GB2312" w:cs="仿宋_GB2312"/>
                <w:sz w:val="24"/>
                <w:szCs w:val="24"/>
              </w:rPr>
            </w:pPr>
            <w:r>
              <w:rPr>
                <w:rFonts w:hint="eastAsia" w:ascii="Times New Roman" w:hAnsi="Times New Roman" w:eastAsia="仿宋_GB2312"/>
                <w:sz w:val="24"/>
                <w:szCs w:val="24"/>
                <w:lang w:bidi="ar"/>
              </w:rPr>
              <w:t>该基站属于城市基础设施建设，符合《融水苗族自治县人民政府办公室关于支持移动通信基站建设的通知》（融政办发〔</w:t>
            </w:r>
            <w:r>
              <w:rPr>
                <w:rFonts w:ascii="Times New Roman" w:hAnsi="Times New Roman" w:eastAsia="仿宋_GB2312"/>
                <w:sz w:val="24"/>
                <w:szCs w:val="24"/>
                <w:lang w:bidi="ar"/>
              </w:rPr>
              <w:t>2018</w:t>
            </w:r>
            <w:r>
              <w:rPr>
                <w:rFonts w:hint="eastAsia" w:ascii="Times New Roman" w:hAnsi="Times New Roman" w:eastAsia="仿宋_GB2312"/>
                <w:sz w:val="24"/>
                <w:szCs w:val="24"/>
                <w:lang w:bidi="ar"/>
              </w:rPr>
              <w:t>〕</w:t>
            </w:r>
            <w:r>
              <w:rPr>
                <w:rFonts w:ascii="Times New Roman" w:hAnsi="Times New Roman" w:eastAsia="仿宋_GB2312"/>
                <w:sz w:val="24"/>
                <w:szCs w:val="24"/>
                <w:lang w:bidi="ar"/>
              </w:rPr>
              <w:t>62</w:t>
            </w:r>
            <w:r>
              <w:rPr>
                <w:rFonts w:hint="eastAsia" w:ascii="Times New Roman" w:hAnsi="Times New Roman" w:eastAsia="仿宋_GB2312"/>
                <w:sz w:val="24"/>
                <w:szCs w:val="24"/>
                <w:lang w:bidi="ar"/>
              </w:rPr>
              <w:t>号）和《柳州市融水苗族自治县</w:t>
            </w:r>
            <w:r>
              <w:rPr>
                <w:rFonts w:ascii="Times New Roman" w:hAnsi="Times New Roman" w:eastAsia="仿宋_GB2312"/>
                <w:sz w:val="24"/>
                <w:szCs w:val="24"/>
                <w:lang w:bidi="ar"/>
              </w:rPr>
              <w:t>5G</w:t>
            </w:r>
            <w:r>
              <w:rPr>
                <w:rFonts w:hint="eastAsia" w:ascii="Times New Roman" w:hAnsi="Times New Roman" w:eastAsia="仿宋_GB2312"/>
                <w:sz w:val="24"/>
                <w:szCs w:val="24"/>
                <w:lang w:bidi="ar"/>
              </w:rPr>
              <w:t>通信基础设施专项规划》要求，建设时签有场地租赁合同，进行了环境影响登记表，且噪声监测符合国家标准，提出的拆除诉求无依据。</w:t>
            </w:r>
          </w:p>
        </w:tc>
        <w:tc>
          <w:tcPr>
            <w:tcW w:w="9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不属实</w:t>
            </w:r>
          </w:p>
        </w:tc>
        <w:tc>
          <w:tcPr>
            <w:tcW w:w="2580" w:type="dxa"/>
            <w:vAlign w:val="center"/>
          </w:tcPr>
          <w:p>
            <w:pPr>
              <w:overflowPunct w:val="0"/>
              <w:adjustRightInd w:val="0"/>
              <w:snapToGrid w:val="0"/>
              <w:rPr>
                <w:rFonts w:ascii="仿宋" w:hAnsi="仿宋" w:eastAsia="仿宋" w:cs="仿宋"/>
                <w:kern w:val="0"/>
                <w:sz w:val="24"/>
                <w:szCs w:val="24"/>
                <w:lang w:bidi="ar"/>
              </w:rPr>
            </w:pPr>
            <w:r>
              <w:rPr>
                <w:rFonts w:hint="eastAsia" w:ascii="仿宋" w:hAnsi="仿宋" w:eastAsia="仿宋" w:cs="仿宋"/>
                <w:kern w:val="0"/>
                <w:sz w:val="24"/>
                <w:szCs w:val="24"/>
                <w:lang w:bidi="ar"/>
              </w:rPr>
              <w:t>（一）加强组织协调。2023年10月13日，融水苗族自治县组织中国铁塔股份有限公司柳州市分公司和中国电信股份有限公司融水分公司和城北社区相关工作人员以及事发小区群众代表召开信访件协调处置会并到实地调查处置工作。</w:t>
            </w:r>
          </w:p>
          <w:p>
            <w:pPr>
              <w:widowControl/>
              <w:jc w:val="left"/>
              <w:rPr>
                <w:rFonts w:ascii="仿宋_GB2312" w:hAnsi="仿宋_GB2312" w:eastAsia="仿宋_GB2312" w:cs="仿宋_GB2312"/>
                <w:sz w:val="24"/>
                <w:szCs w:val="24"/>
              </w:rPr>
            </w:pPr>
            <w:r>
              <w:rPr>
                <w:rFonts w:hint="eastAsia" w:ascii="仿宋" w:hAnsi="仿宋" w:eastAsia="仿宋" w:cs="仿宋"/>
                <w:sz w:val="24"/>
                <w:szCs w:val="24"/>
                <w:lang w:bidi="ar"/>
              </w:rPr>
              <w:t>（二）积极推进调查处置工作。融水镇人民政府协助当事企业开展群众宣传辐射工作，已开展入户宣传工作；群众代表对工作组协调和现场处置工作表示认可，积极参与监测调查处置工作。</w:t>
            </w:r>
          </w:p>
        </w:tc>
        <w:tc>
          <w:tcPr>
            <w:tcW w:w="87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已办结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D2LZ202310120003</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柳城县马山镇古仁屯村民反映距离居住地小于</w:t>
            </w:r>
            <w:r>
              <w:rPr>
                <w:rFonts w:ascii="Times New Roman" w:hAnsi="Times New Roman" w:eastAsia="仿宋"/>
                <w:sz w:val="24"/>
                <w:szCs w:val="24"/>
                <w:lang w:bidi="ar"/>
              </w:rPr>
              <w:t>500</w:t>
            </w:r>
            <w:r>
              <w:rPr>
                <w:rFonts w:hint="eastAsia" w:ascii="Times New Roman" w:hAnsi="Times New Roman" w:eastAsia="仿宋"/>
                <w:sz w:val="24"/>
                <w:szCs w:val="24"/>
                <w:lang w:bidi="ar"/>
              </w:rPr>
              <w:t>米的广西农垦的养猪场，排放废气，废气的臭味难以忍受，影响村民的正常生活，柳城生态环境局所公布的监测数据达标，希望督察组在排放废气期间进行现场暗访、监测，督促企业整改保证所排废气监测数据达标且无异味。</w:t>
            </w:r>
          </w:p>
        </w:tc>
        <w:tc>
          <w:tcPr>
            <w:tcW w:w="93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柳城县</w:t>
            </w:r>
          </w:p>
        </w:tc>
        <w:tc>
          <w:tcPr>
            <w:tcW w:w="1117"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Merge w:val="restart"/>
            <w:vAlign w:val="center"/>
          </w:tcPr>
          <w:p>
            <w:pPr>
              <w:pStyle w:val="8"/>
              <w:rPr>
                <w:rFonts w:ascii="仿宋_GB2312" w:hAnsi="仿宋_GB2312" w:eastAsia="仿宋_GB2312" w:cs="仿宋_GB2312"/>
                <w:szCs w:val="24"/>
              </w:rPr>
            </w:pPr>
            <w:r>
              <w:rPr>
                <w:rFonts w:hint="eastAsia" w:ascii="仿宋_GB2312" w:hAnsi="仿宋_GB2312" w:eastAsia="仿宋_GB2312" w:cs="仿宋_GB2312"/>
                <w:kern w:val="0"/>
                <w:szCs w:val="24"/>
                <w:lang w:bidi="ar"/>
              </w:rPr>
              <w:t>柳城县人民政府经现场调查核实：</w:t>
            </w:r>
          </w:p>
          <w:p>
            <w:pPr>
              <w:pStyle w:val="8"/>
              <w:rPr>
                <w:rFonts w:ascii="仿宋_GB2312" w:hAnsi="仿宋_GB2312" w:eastAsia="仿宋_GB2312" w:cs="仿宋_GB2312"/>
                <w:szCs w:val="24"/>
              </w:rPr>
            </w:pPr>
            <w:r>
              <w:rPr>
                <w:rFonts w:hint="eastAsia" w:ascii="仿宋_GB2312" w:hAnsi="仿宋_GB2312" w:eastAsia="仿宋_GB2312" w:cs="仿宋_GB2312"/>
                <w:kern w:val="0"/>
                <w:szCs w:val="24"/>
                <w:lang w:bidi="ar"/>
              </w:rPr>
              <w:t>1.“排放废气，废气的臭味难以忍受，影响村民的正常生活，柳城生态环境局所公布的监测数据达标，”“排放废气及喷洒消毒水，废气的臭味、消毒水的刺鼻味道影响村民的正常生活，”“晚上整夜排放废气，废气的臭味难以忍受，节假日情况更甚，”“养猪场散发臭味，”“养猪场，排放废气，废气的臭味难以忍受，”属实。</w:t>
            </w:r>
          </w:p>
          <w:p>
            <w:pPr>
              <w:pStyle w:val="8"/>
              <w:rPr>
                <w:rFonts w:ascii="仿宋_GB2312" w:hAnsi="仿宋_GB2312" w:eastAsia="仿宋_GB2312" w:cs="仿宋_GB2312"/>
                <w:szCs w:val="24"/>
              </w:rPr>
            </w:pPr>
            <w:r>
              <w:rPr>
                <w:rFonts w:hint="eastAsia" w:ascii="仿宋_GB2312" w:hAnsi="仿宋_GB2312" w:eastAsia="仿宋_GB2312" w:cs="仿宋_GB2312"/>
                <w:kern w:val="0"/>
                <w:szCs w:val="24"/>
                <w:lang w:bidi="ar"/>
              </w:rPr>
              <w:t>2.“消毒水的刺鼻味道影响村民的正常生活，”“养猪场喷洒消毒水时气味刺鼻，”部分属实。</w:t>
            </w:r>
          </w:p>
          <w:p>
            <w:pPr>
              <w:widowControl/>
              <w:jc w:val="left"/>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3.“导致老人家肺部出问题、小孩子过敏，”“喷洒的消毒水导致儿童过敏住院，”不属实。</w:t>
            </w:r>
          </w:p>
          <w:p>
            <w:pPr>
              <w:overflowPunct w:val="0"/>
              <w:rPr>
                <w:rFonts w:ascii="仿宋_GB2312" w:hAnsi="仿宋_GB2312" w:eastAsia="仿宋_GB2312" w:cs="仿宋_GB2312"/>
                <w:sz w:val="24"/>
                <w:szCs w:val="24"/>
              </w:rPr>
            </w:pPr>
            <w:r>
              <w:rPr>
                <w:rFonts w:ascii="Times New Roman" w:hAnsi="Times New Roman" w:eastAsia="仿宋_GB2312"/>
                <w:kern w:val="0"/>
                <w:sz w:val="24"/>
              </w:rPr>
              <w:t>。</w:t>
            </w:r>
          </w:p>
        </w:tc>
        <w:tc>
          <w:tcPr>
            <w:tcW w:w="982"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部分属实</w:t>
            </w:r>
          </w:p>
        </w:tc>
        <w:tc>
          <w:tcPr>
            <w:tcW w:w="2580" w:type="dxa"/>
            <w:vMerge w:val="restar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2022年6月1日，该公司未按承诺完成猪舍相应的养殖臭气处理设施改造和养殖废水收集池除臭措施整改且臭气超标排放。2023年4月16日晚，该公司在提升整改期间，因维修管理不善，打开污水处理池覆盖膜后未及时采取措施覆盖，产生臭味影响村民。 </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柳城生态环境局多次下达相关整改文书，责令该公司完善安装猪舍废气处理设施、污水处理站全密闭设施、干清粪房全密闭设施，及时清理猪舍养殖粪便等提升改造措施。2</w:t>
            </w:r>
            <w:r>
              <w:rPr>
                <w:rFonts w:ascii="仿宋_GB2312" w:hAnsi="仿宋_GB2312" w:eastAsia="仿宋_GB2312" w:cs="仿宋_GB2312"/>
                <w:sz w:val="24"/>
                <w:szCs w:val="24"/>
              </w:rPr>
              <w:t>023</w:t>
            </w:r>
            <w:r>
              <w:rPr>
                <w:rFonts w:hint="eastAsia" w:ascii="仿宋_GB2312" w:hAnsi="仿宋_GB2312" w:eastAsia="仿宋_GB2312" w:cs="仿宋_GB2312"/>
                <w:sz w:val="24"/>
                <w:szCs w:val="24"/>
              </w:rPr>
              <w:t>年，柳城生态环境局于4月26日对该公司四塘种猪场落实环评要求及整改完成情况开展核查，该公司已基本按要求完善配套了相关环保设施，完成了整改措施。经完成整改后，4月26日，自治区柳州生态环境监测中心在古仁屯村民的配合下，对该公司四塘种猪场厂界及古仁屯敏感点开展臭气浓度监测，监测结果显示猪场厂界及古仁屯敏感点均达到国家相关标准。该公司于2023年8月底完成40栋猪舍全部80个单元的除臭提升改造工程建设并投入运行。第三方监测机构数据显示猪场厂界臭气浓度达到国家相关标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该公司在今年5月期间，使用水车在古仁屯村口外围道路喷洒植物提取液进行除臭，群众反映植物提取液异味重影响正常生活，该公司接群众反映后于5月19日停止喷洒后不在使用。目前该公司四塘种猪场只在猪舍臭气处理设施内使用除臭药剂进行除臭处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该公司规划、土地、项目备案、环保审批验收等相关手续齐全，不符合群众搬迁诉求。</w:t>
            </w:r>
          </w:p>
        </w:tc>
        <w:tc>
          <w:tcPr>
            <w:tcW w:w="870"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阶段性办结</w:t>
            </w:r>
          </w:p>
        </w:tc>
        <w:tc>
          <w:tcPr>
            <w:tcW w:w="84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D2LZ202310120004</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柳城县马山镇古仁屯村民反映距离居住地</w:t>
            </w:r>
            <w:r>
              <w:rPr>
                <w:rFonts w:ascii="Times New Roman" w:hAnsi="Times New Roman" w:eastAsia="仿宋"/>
                <w:sz w:val="24"/>
                <w:szCs w:val="24"/>
                <w:lang w:bidi="ar"/>
              </w:rPr>
              <w:t>500</w:t>
            </w:r>
            <w:r>
              <w:rPr>
                <w:rFonts w:hint="eastAsia" w:ascii="Times New Roman" w:hAnsi="Times New Roman" w:eastAsia="仿宋"/>
                <w:sz w:val="24"/>
                <w:szCs w:val="24"/>
                <w:lang w:bidi="ar"/>
              </w:rPr>
              <w:t>米左右的盛塘牧业养猪场（养殖规模在</w:t>
            </w:r>
            <w:r>
              <w:rPr>
                <w:rFonts w:ascii="Times New Roman" w:hAnsi="Times New Roman" w:eastAsia="仿宋"/>
                <w:sz w:val="24"/>
                <w:szCs w:val="24"/>
                <w:lang w:bidi="ar"/>
              </w:rPr>
              <w:t>5</w:t>
            </w:r>
            <w:r>
              <w:rPr>
                <w:rFonts w:hint="eastAsia" w:ascii="Times New Roman" w:hAnsi="Times New Roman" w:eastAsia="仿宋"/>
                <w:sz w:val="24"/>
                <w:szCs w:val="24"/>
                <w:lang w:bidi="ar"/>
              </w:rPr>
              <w:t>至</w:t>
            </w:r>
            <w:r>
              <w:rPr>
                <w:rFonts w:ascii="Times New Roman" w:hAnsi="Times New Roman" w:eastAsia="仿宋"/>
                <w:sz w:val="24"/>
                <w:szCs w:val="24"/>
                <w:lang w:bidi="ar"/>
              </w:rPr>
              <w:t>6</w:t>
            </w:r>
            <w:r>
              <w:rPr>
                <w:rFonts w:hint="eastAsia" w:ascii="Times New Roman" w:hAnsi="Times New Roman" w:eastAsia="仿宋"/>
                <w:sz w:val="24"/>
                <w:szCs w:val="24"/>
                <w:lang w:bidi="ar"/>
              </w:rPr>
              <w:t>万头），在2</w:t>
            </w:r>
            <w:r>
              <w:rPr>
                <w:rFonts w:ascii="Times New Roman" w:hAnsi="Times New Roman" w:eastAsia="仿宋"/>
                <w:sz w:val="24"/>
                <w:szCs w:val="24"/>
                <w:lang w:bidi="ar"/>
              </w:rPr>
              <w:t>3</w:t>
            </w:r>
            <w:r>
              <w:rPr>
                <w:rFonts w:hint="eastAsia" w:ascii="Times New Roman" w:hAnsi="Times New Roman" w:eastAsia="仿宋"/>
                <w:sz w:val="24"/>
                <w:szCs w:val="24"/>
                <w:lang w:bidi="ar"/>
              </w:rPr>
              <w:t>时至次日1时期间，排放废气及喷洒消毒水，废气的臭味、消毒水的刺鼻味道影响村民的正常生活，已经过镇政府、县政府处理，情况仍未好转，希望督察组介入解决此问题。</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overflowPunct w:val="0"/>
              <w:rPr>
                <w:rFonts w:ascii="仿宋_GB2312" w:hAnsi="仿宋_GB2312" w:eastAsia="仿宋_GB2312" w:cs="仿宋_GB2312"/>
                <w:sz w:val="24"/>
                <w:szCs w:val="24"/>
              </w:rPr>
            </w:pPr>
          </w:p>
        </w:tc>
        <w:tc>
          <w:tcPr>
            <w:tcW w:w="982" w:type="dxa"/>
            <w:vMerge w:val="continue"/>
            <w:vAlign w:val="center"/>
          </w:tcPr>
          <w:p>
            <w:pPr>
              <w:jc w:val="center"/>
              <w:rPr>
                <w:rFonts w:ascii="仿宋_GB2312" w:hAnsi="仿宋_GB2312" w:eastAsia="仿宋_GB2312" w:cs="仿宋_GB2312"/>
                <w:sz w:val="24"/>
                <w:szCs w:val="24"/>
              </w:rPr>
            </w:pPr>
          </w:p>
        </w:tc>
        <w:tc>
          <w:tcPr>
            <w:tcW w:w="2580" w:type="dxa"/>
            <w:vMerge w:val="continue"/>
            <w:vAlign w:val="center"/>
          </w:tcPr>
          <w:p>
            <w:pPr>
              <w:jc w:val="left"/>
              <w:rPr>
                <w:rFonts w:ascii="仿宋_GB2312" w:hAnsi="仿宋_GB2312" w:eastAsia="仿宋_GB2312" w:cs="仿宋_GB2312"/>
                <w:sz w:val="24"/>
                <w:szCs w:val="24"/>
              </w:rPr>
            </w:pPr>
          </w:p>
        </w:tc>
        <w:tc>
          <w:tcPr>
            <w:tcW w:w="870" w:type="dxa"/>
            <w:vMerge w:val="continue"/>
            <w:vAlign w:val="center"/>
          </w:tcPr>
          <w:p>
            <w:pPr>
              <w:jc w:val="center"/>
              <w:rPr>
                <w:rFonts w:ascii="仿宋_GB2312" w:hAnsi="仿宋_GB2312" w:eastAsia="仿宋_GB2312" w:cs="仿宋_GB2312"/>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D2LZ202310120007</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柳城县马山镇古仁屯村民反映距离居住地小于</w:t>
            </w:r>
            <w:r>
              <w:rPr>
                <w:rFonts w:ascii="Times New Roman" w:hAnsi="Times New Roman" w:eastAsia="仿宋"/>
                <w:sz w:val="24"/>
                <w:szCs w:val="24"/>
                <w:lang w:bidi="ar"/>
              </w:rPr>
              <w:t>500</w:t>
            </w:r>
            <w:r>
              <w:rPr>
                <w:rFonts w:hint="eastAsia" w:ascii="Times New Roman" w:hAnsi="Times New Roman" w:eastAsia="仿宋"/>
                <w:sz w:val="24"/>
                <w:szCs w:val="24"/>
                <w:lang w:bidi="ar"/>
              </w:rPr>
              <w:t>米的广西农垦的养猪场，排放废气，废气的臭味难以忍受，</w:t>
            </w:r>
            <w:r>
              <w:rPr>
                <w:rFonts w:ascii="Times New Roman" w:hAnsi="Times New Roman" w:eastAsia="仿宋"/>
                <w:sz w:val="24"/>
                <w:szCs w:val="24"/>
                <w:lang w:bidi="ar"/>
              </w:rPr>
              <w:t>3</w:t>
            </w:r>
            <w:r>
              <w:rPr>
                <w:rFonts w:hint="eastAsia" w:ascii="Times New Roman" w:hAnsi="Times New Roman" w:eastAsia="仿宋"/>
                <w:sz w:val="24"/>
                <w:szCs w:val="24"/>
                <w:lang w:bidi="ar"/>
              </w:rPr>
              <w:t>年来影响村民的正常生活，导致老人家肺部出问题、小孩子过敏，多次反馈当地政府，问题未得到解决，希望督察组介入解决此问题。</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widowControl/>
              <w:spacing w:line="320" w:lineRule="exact"/>
              <w:rPr>
                <w:rFonts w:ascii="仿宋_GB2312" w:hAnsi="仿宋_GB2312" w:eastAsia="仿宋_GB2312" w:cs="仿宋_GB2312"/>
                <w:sz w:val="24"/>
                <w:szCs w:val="24"/>
              </w:rPr>
            </w:pPr>
          </w:p>
        </w:tc>
        <w:tc>
          <w:tcPr>
            <w:tcW w:w="982" w:type="dxa"/>
            <w:vMerge w:val="continue"/>
            <w:vAlign w:val="center"/>
          </w:tcPr>
          <w:p>
            <w:pPr>
              <w:jc w:val="center"/>
              <w:rPr>
                <w:rFonts w:ascii="仿宋_GB2312" w:hAnsi="仿宋_GB2312" w:eastAsia="仿宋_GB2312" w:cs="仿宋_GB2312"/>
                <w:sz w:val="24"/>
                <w:szCs w:val="24"/>
              </w:rPr>
            </w:pPr>
          </w:p>
        </w:tc>
        <w:tc>
          <w:tcPr>
            <w:tcW w:w="2580" w:type="dxa"/>
            <w:vMerge w:val="continue"/>
            <w:vAlign w:val="center"/>
          </w:tcPr>
          <w:p>
            <w:pPr>
              <w:jc w:val="left"/>
              <w:rPr>
                <w:rFonts w:ascii="仿宋_GB2312" w:hAnsi="仿宋_GB2312" w:eastAsia="仿宋_GB2312" w:cs="仿宋_GB2312"/>
                <w:sz w:val="24"/>
                <w:szCs w:val="24"/>
              </w:rPr>
            </w:pPr>
          </w:p>
        </w:tc>
        <w:tc>
          <w:tcPr>
            <w:tcW w:w="870" w:type="dxa"/>
            <w:vMerge w:val="continue"/>
            <w:vAlign w:val="center"/>
          </w:tcPr>
          <w:p>
            <w:pPr>
              <w:jc w:val="center"/>
              <w:rPr>
                <w:rFonts w:ascii="仿宋_GB2312" w:hAnsi="仿宋_GB2312" w:eastAsia="仿宋_GB2312" w:cs="仿宋_GB2312"/>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D2LZ202310120008</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柳城县马山镇古仁屯村民反映距离居住地小于</w:t>
            </w:r>
            <w:r>
              <w:rPr>
                <w:rFonts w:ascii="Times New Roman" w:hAnsi="Times New Roman" w:eastAsia="仿宋"/>
                <w:sz w:val="24"/>
                <w:szCs w:val="24"/>
                <w:lang w:bidi="ar"/>
              </w:rPr>
              <w:t>500</w:t>
            </w:r>
            <w:r>
              <w:rPr>
                <w:rFonts w:hint="eastAsia" w:ascii="Times New Roman" w:hAnsi="Times New Roman" w:eastAsia="仿宋"/>
                <w:sz w:val="24"/>
                <w:szCs w:val="24"/>
                <w:lang w:bidi="ar"/>
              </w:rPr>
              <w:t>米的广西农垦的养猪场，晚上整夜排放废气，废气的臭味难以忍受，节假日情况更甚，养猪场喷洒消毒水时气味刺鼻，甚至导致村民过敏住院。上述问题多次反馈至当地政府，但问题未得到解决，希望督察组介入督促企业整改或将企业搬迁。</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jc w:val="left"/>
              <w:rPr>
                <w:rFonts w:ascii="仿宋_GB2312" w:hAnsi="仿宋_GB2312" w:eastAsia="仿宋_GB2312" w:cs="仿宋_GB2312"/>
                <w:sz w:val="24"/>
                <w:szCs w:val="24"/>
              </w:rPr>
            </w:pPr>
          </w:p>
        </w:tc>
        <w:tc>
          <w:tcPr>
            <w:tcW w:w="982" w:type="dxa"/>
            <w:vMerge w:val="continue"/>
            <w:vAlign w:val="center"/>
          </w:tcPr>
          <w:p>
            <w:pPr>
              <w:jc w:val="center"/>
              <w:rPr>
                <w:rFonts w:ascii="仿宋_GB2312" w:hAnsi="仿宋_GB2312" w:eastAsia="仿宋_GB2312" w:cs="仿宋_GB2312"/>
                <w:sz w:val="24"/>
                <w:szCs w:val="24"/>
              </w:rPr>
            </w:pPr>
          </w:p>
        </w:tc>
        <w:tc>
          <w:tcPr>
            <w:tcW w:w="2580" w:type="dxa"/>
            <w:vMerge w:val="continue"/>
            <w:vAlign w:val="center"/>
          </w:tcPr>
          <w:p>
            <w:pPr>
              <w:jc w:val="left"/>
              <w:rPr>
                <w:rFonts w:ascii="仿宋_GB2312" w:hAnsi="仿宋_GB2312" w:eastAsia="仿宋_GB2312" w:cs="仿宋_GB2312"/>
                <w:sz w:val="24"/>
                <w:szCs w:val="24"/>
              </w:rPr>
            </w:pPr>
          </w:p>
        </w:tc>
        <w:tc>
          <w:tcPr>
            <w:tcW w:w="870" w:type="dxa"/>
            <w:vMerge w:val="continue"/>
            <w:vAlign w:val="center"/>
          </w:tcPr>
          <w:p>
            <w:pPr>
              <w:jc w:val="center"/>
              <w:rPr>
                <w:rFonts w:ascii="仿宋_GB2312" w:hAnsi="仿宋_GB2312" w:eastAsia="仿宋_GB2312" w:cs="仿宋_GB2312"/>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D2LZ202310120009</w:t>
            </w:r>
          </w:p>
        </w:tc>
        <w:tc>
          <w:tcPr>
            <w:tcW w:w="1913" w:type="dxa"/>
            <w:vAlign w:val="center"/>
          </w:tcPr>
          <w:p>
            <w:pPr>
              <w:rPr>
                <w:rFonts w:ascii="仿宋_GB2312" w:hAnsi="仿宋_GB2312" w:eastAsia="仿宋_GB2312" w:cs="仿宋_GB2312"/>
                <w:sz w:val="24"/>
                <w:szCs w:val="24"/>
              </w:rPr>
            </w:pPr>
            <w:r>
              <w:rPr>
                <w:rFonts w:hint="eastAsia" w:ascii="Times New Roman" w:hAnsi="Times New Roman" w:eastAsia="仿宋"/>
                <w:sz w:val="24"/>
                <w:szCs w:val="24"/>
                <w:lang w:bidi="ar"/>
              </w:rPr>
              <w:t>柳城县马山镇古仁屯村民反映距离居住地不到</w:t>
            </w:r>
            <w:r>
              <w:rPr>
                <w:rFonts w:ascii="Times New Roman" w:hAnsi="Times New Roman" w:eastAsia="仿宋"/>
                <w:sz w:val="24"/>
                <w:szCs w:val="24"/>
                <w:lang w:bidi="ar"/>
              </w:rPr>
              <w:t>1</w:t>
            </w:r>
            <w:r>
              <w:rPr>
                <w:rFonts w:hint="eastAsia" w:ascii="Times New Roman" w:hAnsi="Times New Roman" w:eastAsia="仿宋"/>
                <w:sz w:val="24"/>
                <w:szCs w:val="24"/>
                <w:lang w:bidi="ar"/>
              </w:rPr>
              <w:t>公里的养猪场散发臭味，让人晚上难以入眠，喷洒的消毒水导致儿童过敏住院，向当地政府反映，未能有效解决，希望督察组实地考察提出解决方案。</w:t>
            </w:r>
          </w:p>
        </w:tc>
        <w:tc>
          <w:tcPr>
            <w:tcW w:w="938" w:type="dxa"/>
            <w:vMerge w:val="continue"/>
            <w:vAlign w:val="center"/>
          </w:tcPr>
          <w:p>
            <w:pPr>
              <w:jc w:val="center"/>
              <w:rPr>
                <w:rFonts w:ascii="仿宋_GB2312" w:hAnsi="仿宋_GB2312" w:eastAsia="仿宋_GB2312" w:cs="仿宋_GB2312"/>
                <w:sz w:val="24"/>
                <w:szCs w:val="24"/>
              </w:rPr>
            </w:pPr>
          </w:p>
        </w:tc>
        <w:tc>
          <w:tcPr>
            <w:tcW w:w="1117" w:type="dxa"/>
            <w:vMerge w:val="continue"/>
            <w:vAlign w:val="center"/>
          </w:tcPr>
          <w:p>
            <w:pPr>
              <w:jc w:val="center"/>
              <w:rPr>
                <w:rFonts w:ascii="仿宋_GB2312" w:hAnsi="仿宋_GB2312" w:eastAsia="仿宋_GB2312" w:cs="仿宋_GB2312"/>
                <w:sz w:val="24"/>
                <w:szCs w:val="24"/>
              </w:rPr>
            </w:pPr>
          </w:p>
        </w:tc>
        <w:tc>
          <w:tcPr>
            <w:tcW w:w="4193" w:type="dxa"/>
            <w:vMerge w:val="continue"/>
            <w:vAlign w:val="center"/>
          </w:tcPr>
          <w:p>
            <w:pPr>
              <w:jc w:val="left"/>
              <w:rPr>
                <w:rFonts w:ascii="仿宋_GB2312" w:hAnsi="仿宋_GB2312" w:eastAsia="仿宋_GB2312" w:cs="仿宋_GB2312"/>
                <w:sz w:val="24"/>
                <w:szCs w:val="24"/>
              </w:rPr>
            </w:pPr>
          </w:p>
        </w:tc>
        <w:tc>
          <w:tcPr>
            <w:tcW w:w="982" w:type="dxa"/>
            <w:vMerge w:val="continue"/>
            <w:vAlign w:val="center"/>
          </w:tcPr>
          <w:p>
            <w:pPr>
              <w:jc w:val="center"/>
              <w:rPr>
                <w:rFonts w:ascii="仿宋_GB2312" w:hAnsi="仿宋_GB2312" w:eastAsia="仿宋_GB2312" w:cs="仿宋_GB2312"/>
                <w:sz w:val="24"/>
                <w:szCs w:val="24"/>
              </w:rPr>
            </w:pPr>
          </w:p>
        </w:tc>
        <w:tc>
          <w:tcPr>
            <w:tcW w:w="2580" w:type="dxa"/>
            <w:vMerge w:val="continue"/>
            <w:vAlign w:val="center"/>
          </w:tcPr>
          <w:p>
            <w:pPr>
              <w:jc w:val="left"/>
              <w:rPr>
                <w:rFonts w:ascii="仿宋_GB2312" w:hAnsi="仿宋_GB2312" w:eastAsia="仿宋_GB2312" w:cs="仿宋_GB2312"/>
                <w:sz w:val="24"/>
                <w:szCs w:val="24"/>
              </w:rPr>
            </w:pPr>
          </w:p>
        </w:tc>
        <w:tc>
          <w:tcPr>
            <w:tcW w:w="870" w:type="dxa"/>
            <w:vMerge w:val="continue"/>
            <w:vAlign w:val="center"/>
          </w:tcPr>
          <w:p>
            <w:pPr>
              <w:jc w:val="center"/>
              <w:rPr>
                <w:rFonts w:ascii="仿宋_GB2312" w:hAnsi="仿宋_GB2312" w:eastAsia="仿宋_GB2312" w:cs="仿宋_GB2312"/>
                <w:sz w:val="24"/>
                <w:szCs w:val="24"/>
              </w:rPr>
            </w:pPr>
          </w:p>
        </w:tc>
        <w:tc>
          <w:tcPr>
            <w:tcW w:w="848" w:type="dxa"/>
            <w:vMerge w:val="continue"/>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D2LZ202310120005</w:t>
            </w:r>
          </w:p>
        </w:tc>
        <w:tc>
          <w:tcPr>
            <w:tcW w:w="1913" w:type="dxa"/>
            <w:vAlign w:val="center"/>
          </w:tcPr>
          <w:p>
            <w:pPr>
              <w:rPr>
                <w:rFonts w:ascii="Times New Roman" w:hAnsi="Times New Roman" w:eastAsia="仿宋"/>
                <w:kern w:val="0"/>
                <w:sz w:val="24"/>
                <w:szCs w:val="24"/>
                <w:lang w:bidi="ar"/>
              </w:rPr>
            </w:pPr>
            <w:r>
              <w:rPr>
                <w:rFonts w:ascii="仿宋" w:hAnsi="仿宋" w:eastAsia="仿宋" w:cs="仿宋"/>
                <w:kern w:val="0"/>
                <w:sz w:val="24"/>
              </w:rPr>
              <w:t>柳北区万科城居民反映柳钢在6月底开始排放废气持续一周，时间集中在下半夜时间段，浓度比白天大且有异味，并且有照片作为佐证。之前也向政府热线投诉，相关部门对柳钢排放废气进行监测，数据显示满足排放标准，但该居民对此结果存在疑问，希望针对夜间排放的废气进行重新监测。</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柳北区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经调查，投诉人反映情况基本属实。</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14日凌晨，柳州市生态环境保护综合行政执法支队执法人员对柳钢进行夜间检查，现场检查时，柳钢正常生产，污染防治设施同步运行。执法人员重点检查1#360烧结机、转炉炼钢厂一区2#、3#转炉及其配套的污染防治设施运行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调阅柳钢空气质量站6月15日-7月15日数据资料，空气质量均为优或者良；2023年7月4日，广西壮族自治区环境保护科学研究院环境分析测试中心对柳钢1#热电1#锅炉废气排放口进行飞行监测，监测结果显示为达标排放；2023年8月22日，广西壮族自治区环境保护科学研究院环境分析测试中心对柳钢焦化一焦炉烟气排放口进行飞行监测，监测结果显示为达标排放。</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2023年10月14日现场检查时，柳钢1#360烧结机、转炉炼钢厂一区2#、3#转炉正在运行，配套的污染防治设施正在运行，查阅污染源自动监测在线设施，数据显示，符合国家排放标准限值要求。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于2023年6月底接到的投诉件，经查阅柳钢主要废气排放口在线监控系统在线监测数据，均未发现有废气超标排放情况，同时，执法人员督促柳钢加强环保设施运行管理，特别是在不利气候条件下，最大限度控制污染物排放，减少对周边居民影响。</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2023年10月13日夜间、14日凌晨，柳州市生态环境保护综合行政执法支队委托有资质的第三方监测公司对柳钢周边和万科城居民小区进行执法监测。一是对柳钢污染物无组织排放情况进行监测，二是在柳北区万科城居民小区设置采样点位2个，将依据监测结果，按照有关法律法规进行处理。</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3" w:type="dxa"/>
            <w:vAlign w:val="center"/>
          </w:tcPr>
          <w:p>
            <w:pPr>
              <w:jc w:val="center"/>
              <w:rPr>
                <w:rFonts w:ascii="仿宋_GB2312" w:hAnsi="仿宋_GB2312" w:eastAsia="仿宋_GB2312" w:cs="仿宋_GB2312"/>
                <w:sz w:val="24"/>
                <w:szCs w:val="24"/>
              </w:rPr>
            </w:pPr>
            <w:r>
              <w:rPr>
                <w:rFonts w:hint="eastAsia" w:ascii="仿宋" w:hAnsi="仿宋" w:eastAsia="仿宋" w:cs="仿宋"/>
                <w:sz w:val="24"/>
                <w:szCs w:val="24"/>
                <w:lang w:bidi="ar"/>
              </w:rPr>
              <w:t>D2LZ202310120006</w:t>
            </w:r>
          </w:p>
        </w:tc>
        <w:tc>
          <w:tcPr>
            <w:tcW w:w="1913" w:type="dxa"/>
            <w:vAlign w:val="center"/>
          </w:tcPr>
          <w:p>
            <w:pPr>
              <w:rPr>
                <w:rFonts w:ascii="Times New Roman" w:hAnsi="Times New Roman" w:eastAsia="仿宋"/>
                <w:kern w:val="0"/>
                <w:sz w:val="24"/>
                <w:szCs w:val="24"/>
                <w:lang w:bidi="ar"/>
              </w:rPr>
            </w:pPr>
            <w:r>
              <w:rPr>
                <w:rFonts w:hint="eastAsia" w:ascii="Times New Roman" w:hAnsi="Times New Roman" w:eastAsia="仿宋"/>
                <w:sz w:val="24"/>
                <w:szCs w:val="24"/>
                <w:lang w:bidi="ar"/>
              </w:rPr>
              <w:t>鱼峰区九头山路</w:t>
            </w:r>
            <w:r>
              <w:rPr>
                <w:rFonts w:ascii="Times New Roman" w:hAnsi="Times New Roman" w:eastAsia="仿宋"/>
                <w:sz w:val="24"/>
                <w:szCs w:val="24"/>
                <w:lang w:bidi="ar"/>
              </w:rPr>
              <w:t>12</w:t>
            </w:r>
            <w:r>
              <w:rPr>
                <w:rFonts w:hint="eastAsia" w:ascii="Times New Roman" w:hAnsi="Times New Roman" w:eastAsia="仿宋"/>
                <w:sz w:val="24"/>
                <w:szCs w:val="24"/>
                <w:lang w:bidi="ar"/>
              </w:rPr>
              <w:t>号阳光城丽景湾居民反映附近有一工厂偷排废气，废气味道浓烈影响居民正常生活，希望相关部门到现场核实情况。</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Align w:val="center"/>
          </w:tcPr>
          <w:p>
            <w:pPr>
              <w:overflowPunct w:val="0"/>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经调查，群众提及工厂为柳州润澄针织有限公司，投诉人反映情况基本属实。</w:t>
            </w:r>
          </w:p>
          <w:p>
            <w:pPr>
              <w:widowControl/>
              <w:jc w:val="left"/>
            </w:pPr>
            <w:r>
              <w:rPr>
                <w:rFonts w:hint="eastAsia" w:ascii="仿宋_GB2312" w:hAnsi="仿宋_GB2312" w:eastAsia="仿宋_GB2312" w:cs="仿宋_GB2312"/>
                <w:sz w:val="24"/>
                <w:szCs w:val="24"/>
                <w:lang w:bidi="ar"/>
              </w:rPr>
              <w:t>10月12日晚，柳州市生态环境保护综合行政执法支队执法人员对该公司开展现场检查，并邀请天和社区居民委员会工作人员和柳州丽景湾物业服务中心工作人员参与现场检查工作，现场检查时该公司正在生产，配套污染防治设施及在线监测设施正常运行，厂区内部无明显异味，厂区南面厂界处有轻微异味。10月13日上午，柳州市生态环境保护综合行政执法支队执法人员再次到该公司进行现场检查，锅炉外排烟气呈白色，厂区内部及周边小区无明显异味。通过调阅锅炉外排烟气在线监测数据，未发现锅炉外排烟气污染物超标排放现象。</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w:t>
            </w:r>
            <w:bookmarkStart w:id="0" w:name="_GoBack"/>
            <w:bookmarkEnd w:id="0"/>
            <w:r>
              <w:rPr>
                <w:rFonts w:hint="eastAsia" w:ascii="仿宋_GB2312" w:hAnsi="仿宋_GB2312" w:eastAsia="仿宋_GB2312" w:cs="仿宋_GB2312"/>
                <w:kern w:val="0"/>
                <w:sz w:val="24"/>
                <w:szCs w:val="24"/>
              </w:rPr>
              <w:t>本属实</w:t>
            </w:r>
          </w:p>
        </w:tc>
        <w:tc>
          <w:tcPr>
            <w:tcW w:w="2580" w:type="dxa"/>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10月12日晚，柳州市生态环境保护综合行政执法支队委托有资质的第三方监测公司对有组织废气、厂界无组织废气以及阳光城丽景湾小区6栋2单元6楼楼道窗口外、5栋2单元6楼楼道窗口外的环境空气质量进行采样监测，监测采样过程中，天和社区居民委员会和柳州丽景湾物业服务中心的工作人员均在现场。下一步</w:t>
            </w:r>
            <w:r>
              <w:rPr>
                <w:rFonts w:hint="eastAsia" w:ascii="仿宋_GB2312" w:hAnsi="仿宋_GB2312" w:eastAsia="仿宋_GB2312" w:cs="仿宋_GB2312"/>
                <w:kern w:val="0"/>
                <w:sz w:val="24"/>
                <w:szCs w:val="24"/>
              </w:rPr>
              <w:t>我市将依据监测结果，按照有关法律法规进行处理。</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X2LZ202310120001</w:t>
            </w:r>
          </w:p>
        </w:tc>
        <w:tc>
          <w:tcPr>
            <w:tcW w:w="1913" w:type="dxa"/>
            <w:vAlign w:val="center"/>
          </w:tcPr>
          <w:p>
            <w:pPr>
              <w:rPr>
                <w:rFonts w:ascii="Times New Roman" w:hAnsi="Times New Roman" w:eastAsia="仿宋"/>
                <w:kern w:val="0"/>
                <w:sz w:val="24"/>
                <w:szCs w:val="24"/>
                <w:lang w:bidi="ar"/>
              </w:rPr>
            </w:pPr>
            <w:r>
              <w:rPr>
                <w:rFonts w:hint="eastAsia" w:ascii="Times New Roman" w:hAnsi="Times New Roman" w:eastAsia="仿宋"/>
                <w:sz w:val="24"/>
                <w:szCs w:val="24"/>
                <w:lang w:bidi="ar"/>
              </w:rPr>
              <w:t>柳城县六塘镇化工业园内一家轮胎炼油厂，存在</w:t>
            </w:r>
            <w:r>
              <w:rPr>
                <w:rFonts w:ascii="Times New Roman" w:hAnsi="Times New Roman" w:eastAsia="仿宋"/>
                <w:sz w:val="24"/>
                <w:szCs w:val="24"/>
                <w:lang w:bidi="ar"/>
              </w:rPr>
              <w:t>24</w:t>
            </w:r>
            <w:r>
              <w:rPr>
                <w:rFonts w:hint="eastAsia" w:ascii="Times New Roman" w:hAnsi="Times New Roman" w:eastAsia="仿宋"/>
                <w:sz w:val="24"/>
                <w:szCs w:val="24"/>
                <w:lang w:bidi="ar"/>
              </w:rPr>
              <w:t>小时排放粉尘、废气、废水污染环境，生产期间黑烟滚滚，几公里范围内都能闻到臭味且想呕吐，多次向当地生态环境部门进行投诉，未得到有效解决。</w:t>
            </w:r>
          </w:p>
        </w:tc>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柳城县</w:t>
            </w:r>
          </w:p>
        </w:tc>
        <w:tc>
          <w:tcPr>
            <w:tcW w:w="111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水、大气</w:t>
            </w:r>
          </w:p>
        </w:tc>
        <w:tc>
          <w:tcPr>
            <w:tcW w:w="4193" w:type="dxa"/>
            <w:vAlign w:val="center"/>
          </w:tcPr>
          <w:p>
            <w:pPr>
              <w:widowControl/>
              <w:overflowPunct w:val="0"/>
              <w:adjustRightInd w:val="0"/>
              <w:snapToGrid w:val="0"/>
              <w:rPr>
                <w:rFonts w:ascii="仿宋_GB2312" w:hAnsi="仿宋_GB2312" w:eastAsia="仿宋_GB2312" w:cs="仿宋_GB2312"/>
                <w:sz w:val="24"/>
                <w:szCs w:val="24"/>
              </w:rPr>
            </w:pPr>
            <w:r>
              <w:rPr>
                <w:rFonts w:hint="eastAsia" w:ascii="仿宋" w:hAnsi="仿宋" w:eastAsia="仿宋" w:cs="仿宋"/>
                <w:sz w:val="24"/>
                <w:szCs w:val="24"/>
                <w:lang w:bidi="ar"/>
              </w:rPr>
              <w:t>现场调查时，被投诉企业为柳州中柳环保科技有限公司，该企业处于停产状态，未发现信访件反映的排放粉尘、废气、废水污染环境，黑烟滚滚等问题，现场也未闻到信访件中提到的臭味。通过对周边企业及居民调查，反映该公司在调试启炉时有短暂黑烟及浓油气味。柳城县人民政府相关单位也未接到过相关投诉。因此投诉人反映问题部分属实。</w:t>
            </w:r>
          </w:p>
        </w:tc>
        <w:tc>
          <w:tcPr>
            <w:tcW w:w="98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在调查中发现柳州中柳环保科技有限公司生产调试出现冒黑烟及浓油气味的问题，柳城生态环境局已要求企业严格按照环评批复要求进一步完善相关环保设施。</w:t>
            </w:r>
          </w:p>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对该企业进行检查时发现该企业安装建设的8套裂解炉生产线，与环评批复的4套裂解炉生产线不相符，涉嫌扩大产能，违反《中华人民共和国环境影响评价法》第二十四条，柳城生态环境局依法对其下达《柳州市柳城生态环境局责令改正违法行为决定书》，责令其改正违法行为，柳城生态环境局将对其改正情况进行监督，并对其存在的环境违法行为依法立案查处。</w:t>
            </w:r>
          </w:p>
        </w:tc>
        <w:tc>
          <w:tcPr>
            <w:tcW w:w="87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QzZTcyNGU4MjJkMDU4OTc0NGIyOWJkOTZmMzQifQ=="/>
  </w:docVars>
  <w:rsids>
    <w:rsidRoot w:val="40904542"/>
    <w:rsid w:val="003D6257"/>
    <w:rsid w:val="00471B69"/>
    <w:rsid w:val="00555E31"/>
    <w:rsid w:val="00AF2C63"/>
    <w:rsid w:val="00D548BC"/>
    <w:rsid w:val="00E049CC"/>
    <w:rsid w:val="081029D5"/>
    <w:rsid w:val="08C63215"/>
    <w:rsid w:val="0F0C0596"/>
    <w:rsid w:val="109D1177"/>
    <w:rsid w:val="249F0722"/>
    <w:rsid w:val="2B773C5E"/>
    <w:rsid w:val="2CEF275A"/>
    <w:rsid w:val="38750E24"/>
    <w:rsid w:val="3FAD6C9B"/>
    <w:rsid w:val="40904542"/>
    <w:rsid w:val="425D7813"/>
    <w:rsid w:val="4AEC6CB1"/>
    <w:rsid w:val="4E99704A"/>
    <w:rsid w:val="4F4855D7"/>
    <w:rsid w:val="50796C50"/>
    <w:rsid w:val="56EBE3DE"/>
    <w:rsid w:val="5CE7CC91"/>
    <w:rsid w:val="5F5214DE"/>
    <w:rsid w:val="64A919E7"/>
    <w:rsid w:val="6AE21C1B"/>
    <w:rsid w:val="6C7A22BA"/>
    <w:rsid w:val="6CD93171"/>
    <w:rsid w:val="6D3B7BEA"/>
    <w:rsid w:val="733FF764"/>
    <w:rsid w:val="749035EB"/>
    <w:rsid w:val="783402A7"/>
    <w:rsid w:val="78DE4596"/>
    <w:rsid w:val="7C95557C"/>
    <w:rsid w:val="7D9B1948"/>
    <w:rsid w:val="7FF73C87"/>
    <w:rsid w:val="ECE7AC40"/>
    <w:rsid w:val="EE3B806B"/>
    <w:rsid w:val="F17B9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qFormat/>
    <w:uiPriority w:val="0"/>
    <w:pPr>
      <w:spacing w:line="360" w:lineRule="auto"/>
      <w:ind w:firstLine="720" w:firstLineChars="200"/>
      <w:jc w:val="left"/>
    </w:pPr>
    <w:rPr>
      <w:rFonts w:ascii="Calibri" w:hAnsi="Calibri" w:eastAsia="Calibri"/>
      <w:color w:val="000000"/>
      <w:kern w:val="0"/>
      <w:sz w:val="20"/>
      <w:szCs w:val="21"/>
    </w:rPr>
  </w:style>
  <w:style w:type="paragraph" w:styleId="3">
    <w:name w:val="Body Text"/>
    <w:basedOn w:val="1"/>
    <w:next w:val="4"/>
    <w:link w:val="13"/>
    <w:unhideWhenUsed/>
    <w:qFormat/>
    <w:uiPriority w:val="1"/>
    <w:pPr>
      <w:spacing w:before="102"/>
      <w:ind w:left="1706"/>
    </w:pPr>
    <w:rPr>
      <w:rFonts w:ascii="仿宋_GB2312" w:hAnsi="仿宋_GB2312" w:eastAsia="仿宋_GB2312"/>
      <w:sz w:val="32"/>
    </w:rPr>
  </w:style>
  <w:style w:type="paragraph" w:customStyle="1" w:styleId="4">
    <w:name w:val="页眉与页脚"/>
    <w:next w:val="5"/>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5">
    <w:name w:val="annotation text"/>
    <w:basedOn w:val="1"/>
    <w:next w:val="6"/>
    <w:qFormat/>
    <w:uiPriority w:val="0"/>
    <w:pPr>
      <w:ind w:firstLine="5120"/>
    </w:pPr>
  </w:style>
  <w:style w:type="paragraph" w:styleId="6">
    <w:name w:val="footer"/>
    <w:basedOn w:val="1"/>
    <w:next w:val="1"/>
    <w:qFormat/>
    <w:uiPriority w:val="99"/>
    <w:pPr>
      <w:tabs>
        <w:tab w:val="center" w:pos="4153"/>
        <w:tab w:val="right" w:pos="8306"/>
      </w:tabs>
      <w:snapToGrid w:val="0"/>
      <w:jc w:val="left"/>
    </w:pPr>
    <w:rPr>
      <w:sz w:val="18"/>
      <w:szCs w:val="18"/>
    </w:rPr>
  </w:style>
  <w:style w:type="paragraph" w:styleId="7">
    <w:name w:val="Date"/>
    <w:basedOn w:val="1"/>
    <w:next w:val="1"/>
    <w:qFormat/>
    <w:uiPriority w:val="99"/>
    <w:pPr>
      <w:ind w:left="100" w:leftChars="2500"/>
    </w:pPr>
  </w:style>
  <w:style w:type="paragraph" w:styleId="8">
    <w:name w:val="Normal (Web)"/>
    <w:basedOn w:val="1"/>
    <w:uiPriority w:val="0"/>
    <w:rPr>
      <w:sz w:val="24"/>
    </w:rPr>
  </w:style>
  <w:style w:type="paragraph" w:styleId="9">
    <w:name w:val="Title"/>
    <w:next w:val="1"/>
    <w:link w:val="15"/>
    <w:qFormat/>
    <w:uiPriority w:val="0"/>
    <w:pPr>
      <w:widowControl w:val="0"/>
      <w:spacing w:before="240" w:after="60"/>
      <w:jc w:val="center"/>
      <w:outlineLvl w:val="0"/>
    </w:pPr>
    <w:rPr>
      <w:rFonts w:ascii="Cambria" w:hAnsi="Cambria" w:eastAsia="方正小标宋简体" w:cs="Times New Roman"/>
      <w:bCs/>
      <w:kern w:val="2"/>
      <w:sz w:val="44"/>
      <w:szCs w:val="32"/>
      <w:lang w:val="en-US" w:eastAsia="zh-CN" w:bidi="ar-SA"/>
    </w:rPr>
  </w:style>
  <w:style w:type="character" w:styleId="12">
    <w:name w:val="annotation reference"/>
    <w:basedOn w:val="11"/>
    <w:uiPriority w:val="0"/>
    <w:rPr>
      <w:sz w:val="21"/>
      <w:szCs w:val="21"/>
    </w:rPr>
  </w:style>
  <w:style w:type="character" w:customStyle="1" w:styleId="13">
    <w:name w:val="正文文本 字符"/>
    <w:basedOn w:val="11"/>
    <w:link w:val="3"/>
    <w:uiPriority w:val="0"/>
    <w:rPr>
      <w:kern w:val="2"/>
      <w:sz w:val="21"/>
      <w:szCs w:val="24"/>
    </w:rPr>
  </w:style>
  <w:style w:type="character" w:customStyle="1" w:styleId="14">
    <w:name w:val="正文文本首行缩进 字符"/>
    <w:basedOn w:val="13"/>
    <w:link w:val="2"/>
    <w:uiPriority w:val="0"/>
    <w:rPr>
      <w:kern w:val="2"/>
      <w:sz w:val="21"/>
      <w:szCs w:val="24"/>
    </w:rPr>
  </w:style>
  <w:style w:type="character" w:customStyle="1" w:styleId="15">
    <w:name w:val="标题 字符"/>
    <w:basedOn w:val="11"/>
    <w:link w:val="9"/>
    <w:uiPriority w:val="0"/>
    <w:rPr>
      <w:rFonts w:ascii="Cambria" w:hAnsi="Cambria" w:eastAsia="Cambria" w:cs="Times New Roman"/>
      <w:b/>
      <w:bCs/>
      <w:kern w:val="2"/>
      <w:sz w:val="32"/>
      <w:szCs w:val="32"/>
    </w:rPr>
  </w:style>
  <w:style w:type="paragraph" w:customStyle="1" w:styleId="16">
    <w:name w:val="Default"/>
    <w:basedOn w:val="17"/>
    <w:next w:val="18"/>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7">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8">
    <w:name w:val="索引 61"/>
    <w:basedOn w:val="19"/>
    <w:next w:val="19"/>
    <w:qFormat/>
    <w:uiPriority w:val="0"/>
    <w:pPr>
      <w:ind w:left="2100"/>
    </w:pPr>
    <w:rPr>
      <w:rFonts w:ascii="Times New Roman" w:hAnsi="Times New Roman"/>
    </w:rPr>
  </w:style>
  <w:style w:type="paragraph" w:customStyle="1" w:styleId="19">
    <w:name w:val="正文11"/>
    <w:next w:val="16"/>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4370</Words>
  <Characters>4668</Characters>
  <Lines>34</Lines>
  <Paragraphs>9</Paragraphs>
  <TotalTime>174</TotalTime>
  <ScaleCrop>false</ScaleCrop>
  <LinksUpToDate>false</LinksUpToDate>
  <CharactersWithSpaces>4673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2023-10-18T20:24:00Z</dcterms:created>
  <dc:creator>Lance</dc:creator>
  <cp:lastModifiedBy>覃友</cp:lastModifiedBy>
  <cp:lastPrinted>2023-10-23T03:53:00Z</cp:lastPrinted>
  <dcterms:modified xsi:type="dcterms:W3CDTF">2023-10-24T03:04:16Z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4A6C5EDF1A904E279DE5A83DDE539EBE_13</vt:lpwstr>
  </property>
</Properties>
</file>