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600" w:lineRule="exact"/>
        <w:jc w:val="left"/>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2</w:t>
      </w:r>
      <w:bookmarkStart w:id="0" w:name="_GoBack"/>
      <w:bookmarkEnd w:id="0"/>
    </w:p>
    <w:p>
      <w:pPr>
        <w:keepNext w:val="0"/>
        <w:keepLines w:val="0"/>
        <w:pageBreakBefore w:val="0"/>
        <w:kinsoku/>
        <w:wordWrap/>
        <w:topLinePunct w:val="0"/>
        <w:bidi w:val="0"/>
        <w:spacing w:line="600" w:lineRule="exact"/>
        <w:jc w:val="center"/>
        <w:outlineLvl w:val="1"/>
        <w:rPr>
          <w:rFonts w:hint="eastAsia" w:ascii="方正小标宋简体" w:hAnsi="方正小标宋简体" w:eastAsia="方正小标宋简体" w:cs="方正小标宋简体"/>
          <w:color w:val="auto"/>
          <w:sz w:val="44"/>
          <w:szCs w:val="44"/>
          <w:highlight w:val="none"/>
          <w:lang w:eastAsia="zh-CN"/>
        </w:rPr>
      </w:pPr>
    </w:p>
    <w:p>
      <w:pPr>
        <w:keepNext w:val="0"/>
        <w:keepLines w:val="0"/>
        <w:pageBreakBefore w:val="0"/>
        <w:kinsoku/>
        <w:wordWrap/>
        <w:topLinePunct w:val="0"/>
        <w:bidi w:val="0"/>
        <w:spacing w:line="600" w:lineRule="exact"/>
        <w:jc w:val="center"/>
        <w:outlineLvl w:val="1"/>
        <w:rPr>
          <w:rFonts w:hint="eastAsia" w:ascii="仿宋_GB2312" w:hAnsi="仿宋_GB2312" w:eastAsia="仿宋_GB2312" w:cs="仿宋_GB2312"/>
          <w:color w:val="auto"/>
          <w:kern w:val="0"/>
          <w:sz w:val="32"/>
          <w:szCs w:val="32"/>
          <w:highlight w:val="none"/>
          <w:lang w:eastAsia="zh-CN" w:bidi="ar"/>
        </w:rPr>
      </w:pPr>
      <w:r>
        <w:rPr>
          <w:rFonts w:hint="default" w:ascii="Times New Roman" w:hAnsi="Times New Roman" w:eastAsia="方正小标宋简体" w:cs="Times New Roman"/>
          <w:color w:val="auto"/>
          <w:sz w:val="44"/>
          <w:szCs w:val="44"/>
          <w:highlight w:val="none"/>
          <w:lang w:eastAsia="zh-CN"/>
        </w:rPr>
        <w:t>柳州市</w:t>
      </w:r>
      <w:r>
        <w:rPr>
          <w:rFonts w:hint="default" w:ascii="Times New Roman" w:hAnsi="Times New Roman" w:eastAsia="方正小标宋简体" w:cs="Times New Roman"/>
          <w:color w:val="auto"/>
          <w:sz w:val="44"/>
          <w:szCs w:val="44"/>
          <w:highlight w:val="none"/>
        </w:rPr>
        <w:t>202</w:t>
      </w:r>
      <w:r>
        <w:rPr>
          <w:rFonts w:hint="eastAsia" w:ascii="Times New Roman" w:hAnsi="Times New Roman" w:eastAsia="方正小标宋简体" w:cs="Times New Roman"/>
          <w:color w:val="auto"/>
          <w:sz w:val="44"/>
          <w:szCs w:val="44"/>
          <w:highlight w:val="none"/>
          <w:lang w:val="en-US" w:eastAsia="zh-CN"/>
        </w:rPr>
        <w:t>4</w:t>
      </w:r>
      <w:r>
        <w:rPr>
          <w:rFonts w:hint="default" w:ascii="Times New Roman" w:hAnsi="Times New Roman" w:eastAsia="方正小标宋简体" w:cs="Times New Roman"/>
          <w:color w:val="auto"/>
          <w:sz w:val="44"/>
          <w:szCs w:val="44"/>
          <w:highlight w:val="none"/>
        </w:rPr>
        <w:t>年度大气污染防治</w:t>
      </w:r>
      <w:r>
        <w:rPr>
          <w:rFonts w:hint="default" w:ascii="Times New Roman" w:hAnsi="Times New Roman" w:eastAsia="方正小标宋简体" w:cs="Times New Roman"/>
          <w:color w:val="auto"/>
          <w:sz w:val="44"/>
          <w:szCs w:val="44"/>
          <w:highlight w:val="none"/>
          <w:lang w:eastAsia="zh-CN"/>
        </w:rPr>
        <w:t>工作</w:t>
      </w:r>
      <w:r>
        <w:rPr>
          <w:rFonts w:hint="default" w:ascii="Times New Roman" w:hAnsi="Times New Roman" w:eastAsia="方正小标宋简体" w:cs="Times New Roman"/>
          <w:color w:val="auto"/>
          <w:sz w:val="44"/>
          <w:szCs w:val="44"/>
          <w:highlight w:val="none"/>
        </w:rPr>
        <w:t>计划</w:t>
      </w:r>
    </w:p>
    <w:p>
      <w:pPr>
        <w:keepNext w:val="0"/>
        <w:keepLines w:val="0"/>
        <w:pageBreakBefore w:val="0"/>
        <w:kinsoku/>
        <w:wordWrap/>
        <w:topLinePunct w:val="0"/>
        <w:autoSpaceDE/>
        <w:autoSpaceDN/>
        <w:bidi w:val="0"/>
        <w:snapToGrid/>
        <w:spacing w:before="0" w:beforeLines="0" w:line="58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p>
    <w:p>
      <w:pPr>
        <w:keepNext w:val="0"/>
        <w:keepLines w:val="0"/>
        <w:pageBreakBefore w:val="0"/>
        <w:kinsoku/>
        <w:wordWrap/>
        <w:topLinePunct w:val="0"/>
        <w:autoSpaceDE/>
        <w:autoSpaceDN/>
        <w:bidi w:val="0"/>
        <w:snapToGrid/>
        <w:spacing w:before="0" w:beforeLines="0" w:line="58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为贯彻落实</w:t>
      </w:r>
      <w:r>
        <w:rPr>
          <w:rFonts w:hint="eastAsia" w:ascii="Times New Roman" w:hAnsi="Times New Roman" w:eastAsia="仿宋_GB2312" w:cs="Times New Roman"/>
          <w:color w:val="auto"/>
          <w:sz w:val="32"/>
          <w:szCs w:val="32"/>
          <w:highlight w:val="none"/>
          <w:lang w:eastAsia="zh-CN"/>
        </w:rPr>
        <w:t>国家、自治区</w:t>
      </w:r>
      <w:r>
        <w:rPr>
          <w:rFonts w:hint="default" w:ascii="Times New Roman" w:hAnsi="Times New Roman" w:eastAsia="仿宋_GB2312" w:cs="Times New Roman"/>
          <w:color w:val="auto"/>
          <w:sz w:val="32"/>
          <w:szCs w:val="32"/>
          <w:highlight w:val="none"/>
          <w:lang w:eastAsia="zh-CN"/>
        </w:rPr>
        <w:t>和市委、市政府关于持续深入打好蓝天保卫战的决策部署，落实《国务院关于印发〈空气质量持续改善行动计划〉的通知》（国发〔2023〕24号），持续深入打好蓝天保卫战，</w:t>
      </w:r>
      <w:r>
        <w:rPr>
          <w:rFonts w:hint="eastAsia" w:ascii="Times New Roman" w:hAnsi="Times New Roman" w:eastAsia="仿宋_GB2312" w:cs="Times New Roman"/>
          <w:color w:val="auto"/>
          <w:sz w:val="32"/>
          <w:szCs w:val="32"/>
          <w:highlight w:val="none"/>
          <w:lang w:eastAsia="zh-CN"/>
        </w:rPr>
        <w:t>根据《广西2024年度大气污染防治工作计划》，</w:t>
      </w:r>
      <w:r>
        <w:rPr>
          <w:rFonts w:hint="default" w:ascii="Times New Roman" w:hAnsi="Times New Roman" w:eastAsia="仿宋_GB2312" w:cs="Times New Roman"/>
          <w:color w:val="auto"/>
          <w:sz w:val="32"/>
          <w:szCs w:val="32"/>
          <w:highlight w:val="none"/>
          <w:lang w:eastAsia="zh-CN"/>
        </w:rPr>
        <w:t>编制本工作计划。</w:t>
      </w:r>
    </w:p>
    <w:p>
      <w:pPr>
        <w:keepNext w:val="0"/>
        <w:keepLines w:val="0"/>
        <w:pageBreakBefore w:val="0"/>
        <w:kinsoku/>
        <w:wordWrap/>
        <w:overflowPunct w:val="0"/>
        <w:topLinePunct w:val="0"/>
        <w:autoSpaceDE/>
        <w:autoSpaceDN/>
        <w:bidi w:val="0"/>
        <w:adjustRightInd w:val="0"/>
        <w:snapToGrid/>
        <w:spacing w:line="58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一、</w:t>
      </w:r>
      <w:r>
        <w:rPr>
          <w:rFonts w:hint="eastAsia" w:ascii="黑体" w:hAnsi="黑体" w:eastAsia="黑体" w:cs="黑体"/>
          <w:b w:val="0"/>
          <w:bCs w:val="0"/>
          <w:color w:val="auto"/>
          <w:sz w:val="32"/>
          <w:szCs w:val="32"/>
          <w:highlight w:val="none"/>
          <w:lang w:eastAsia="zh-CN"/>
        </w:rPr>
        <w:t>年度目标</w:t>
      </w:r>
    </w:p>
    <w:p>
      <w:pPr>
        <w:keepNext w:val="0"/>
        <w:keepLines w:val="0"/>
        <w:pageBreakBefore w:val="0"/>
        <w:kinsoku/>
        <w:wordWrap/>
        <w:topLinePunct w:val="0"/>
        <w:autoSpaceDE/>
        <w:autoSpaceDN/>
        <w:bidi w:val="0"/>
        <w:snapToGrid/>
        <w:spacing w:before="0" w:beforeLines="0" w:line="58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完成自治区下达的年度环境空气质量约束性指标，全市优良天数比率不低于</w:t>
      </w:r>
      <w:r>
        <w:rPr>
          <w:rFonts w:hint="default" w:ascii="Times New Roman" w:hAnsi="Times New Roman" w:eastAsia="仿宋_GB2312" w:cs="Times New Roman"/>
          <w:color w:val="auto"/>
          <w:sz w:val="32"/>
          <w:szCs w:val="32"/>
          <w:highlight w:val="none"/>
          <w:lang w:val="en-US" w:eastAsia="zh-CN"/>
        </w:rPr>
        <w:t>93.</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%，PM</w:t>
      </w:r>
      <w:r>
        <w:rPr>
          <w:rFonts w:hint="default" w:ascii="Times New Roman" w:hAnsi="Times New Roman" w:eastAsia="仿宋_GB2312" w:cs="Times New Roman"/>
          <w:color w:val="auto"/>
          <w:sz w:val="32"/>
          <w:szCs w:val="32"/>
          <w:highlight w:val="none"/>
          <w:vertAlign w:val="subscript"/>
          <w:lang w:eastAsia="zh-CN"/>
        </w:rPr>
        <w:t>2.5</w:t>
      </w:r>
      <w:r>
        <w:rPr>
          <w:rFonts w:hint="default" w:ascii="Times New Roman" w:hAnsi="Times New Roman" w:eastAsia="仿宋_GB2312" w:cs="Times New Roman"/>
          <w:color w:val="auto"/>
          <w:sz w:val="32"/>
          <w:szCs w:val="32"/>
          <w:highlight w:val="none"/>
          <w:lang w:eastAsia="zh-CN"/>
        </w:rPr>
        <w:t>年均浓度不高于</w:t>
      </w:r>
      <w:r>
        <w:rPr>
          <w:rFonts w:hint="default" w:ascii="Times New Roman" w:hAnsi="Times New Roman" w:eastAsia="仿宋_GB2312" w:cs="Times New Roman"/>
          <w:color w:val="auto"/>
          <w:sz w:val="32"/>
          <w:szCs w:val="32"/>
          <w:highlight w:val="none"/>
          <w:lang w:val="en-US" w:eastAsia="zh-CN"/>
        </w:rPr>
        <w:t>30.</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微克/立方米，PM</w:t>
      </w:r>
      <w:r>
        <w:rPr>
          <w:rFonts w:hint="default" w:ascii="Times New Roman" w:hAnsi="Times New Roman" w:eastAsia="仿宋_GB2312" w:cs="Times New Roman"/>
          <w:color w:val="auto"/>
          <w:sz w:val="32"/>
          <w:szCs w:val="32"/>
          <w:highlight w:val="none"/>
          <w:vertAlign w:val="subscript"/>
          <w:lang w:val="en-US" w:eastAsia="zh-CN"/>
        </w:rPr>
        <w:t>10</w:t>
      </w:r>
      <w:r>
        <w:rPr>
          <w:rFonts w:hint="default" w:ascii="Times New Roman" w:hAnsi="Times New Roman" w:eastAsia="仿宋_GB2312" w:cs="Times New Roman"/>
          <w:color w:val="auto"/>
          <w:sz w:val="32"/>
          <w:szCs w:val="32"/>
          <w:highlight w:val="none"/>
          <w:lang w:eastAsia="zh-CN"/>
        </w:rPr>
        <w:t>浓度年均值不高于</w:t>
      </w:r>
      <w:r>
        <w:rPr>
          <w:rFonts w:hint="eastAsia" w:ascii="Times New Roman" w:hAnsi="Times New Roman" w:eastAsia="仿宋_GB2312" w:cs="Times New Roman"/>
          <w:color w:val="auto"/>
          <w:sz w:val="32"/>
          <w:szCs w:val="32"/>
          <w:highlight w:val="none"/>
          <w:lang w:val="en-US" w:eastAsia="zh-CN"/>
        </w:rPr>
        <w:t>48.4</w:t>
      </w:r>
      <w:r>
        <w:rPr>
          <w:rFonts w:hint="default" w:ascii="Times New Roman" w:hAnsi="Times New Roman" w:eastAsia="仿宋_GB2312" w:cs="Times New Roman"/>
          <w:color w:val="auto"/>
          <w:sz w:val="32"/>
          <w:szCs w:val="32"/>
          <w:highlight w:val="none"/>
          <w:lang w:eastAsia="zh-CN"/>
        </w:rPr>
        <w:t>微克/立方米，重污染天数比率0.0%，环境空气质量保持稳定并持续改善。各县</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、新区环境空气质量改善目标详见附件。</w:t>
      </w:r>
    </w:p>
    <w:p>
      <w:pPr>
        <w:keepNext w:val="0"/>
        <w:keepLines w:val="0"/>
        <w:pageBreakBefore w:val="0"/>
        <w:kinsoku/>
        <w:wordWrap/>
        <w:overflowPunct w:val="0"/>
        <w:topLinePunct w:val="0"/>
        <w:autoSpaceDE/>
        <w:autoSpaceDN/>
        <w:bidi w:val="0"/>
        <w:adjustRightInd w:val="0"/>
        <w:snapToGrid/>
        <w:spacing w:line="580" w:lineRule="exact"/>
        <w:ind w:firstLine="640" w:firstLineChars="200"/>
        <w:textAlignment w:val="auto"/>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lang w:eastAsia="zh-CN"/>
        </w:rPr>
        <w:t>二</w:t>
      </w:r>
      <w:r>
        <w:rPr>
          <w:rFonts w:hint="default" w:ascii="黑体" w:hAnsi="黑体" w:eastAsia="黑体" w:cs="黑体"/>
          <w:color w:val="auto"/>
          <w:sz w:val="32"/>
          <w:szCs w:val="32"/>
          <w:highlight w:val="none"/>
        </w:rPr>
        <w:t>、主要任务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i w:val="0"/>
          <w:caps w:val="0"/>
          <w:color w:val="auto"/>
          <w:spacing w:val="0"/>
          <w:sz w:val="32"/>
          <w:szCs w:val="32"/>
          <w:highlight w:val="none"/>
          <w:lang w:eastAsia="zh-CN"/>
        </w:rPr>
      </w:pPr>
      <w:r>
        <w:rPr>
          <w:rFonts w:hint="eastAsia" w:ascii="楷体_GB2312" w:hAnsi="楷体_GB2312" w:eastAsia="楷体_GB2312" w:cs="楷体_GB2312"/>
          <w:b w:val="0"/>
          <w:bCs/>
          <w:i w:val="0"/>
          <w:caps w:val="0"/>
          <w:color w:val="auto"/>
          <w:spacing w:val="0"/>
          <w:sz w:val="32"/>
          <w:szCs w:val="32"/>
          <w:highlight w:val="none"/>
        </w:rPr>
        <w:t>（一）持续开展产业、能源结构优化调整</w:t>
      </w:r>
    </w:p>
    <w:p>
      <w:pPr>
        <w:keepNext w:val="0"/>
        <w:keepLines w:val="0"/>
        <w:pageBreakBefore w:val="0"/>
        <w:kinsoku/>
        <w:wordWrap/>
        <w:topLinePunct w:val="0"/>
        <w:autoSpaceDE/>
        <w:autoSpaceDN/>
        <w:bidi w:val="0"/>
        <w:snapToGrid/>
        <w:spacing w:line="580" w:lineRule="exact"/>
        <w:ind w:firstLine="642" w:firstLineChars="200"/>
        <w:textAlignment w:val="auto"/>
        <w:rPr>
          <w:rFonts w:hint="default" w:ascii="楷体_GB2312" w:hAnsi="楷体_GB2312" w:eastAsia="楷体_GB2312" w:cs="楷体_GB2312"/>
          <w:b w:val="0"/>
          <w:bCs/>
          <w:i w:val="0"/>
          <w:caps w:val="0"/>
          <w:color w:val="auto"/>
          <w:spacing w:val="0"/>
          <w:sz w:val="32"/>
          <w:szCs w:val="32"/>
          <w:highlight w:val="none"/>
          <w:lang w:eastAsia="zh-CN"/>
        </w:rPr>
      </w:pPr>
      <w:r>
        <w:rPr>
          <w:rFonts w:hint="default" w:ascii="Times New Roman" w:hAnsi="Times New Roman" w:eastAsia="仿宋_GB2312" w:cs="Times New Roman"/>
          <w:b/>
          <w:bCs w:val="0"/>
          <w:i w:val="0"/>
          <w:caps w:val="0"/>
          <w:color w:val="auto"/>
          <w:spacing w:val="0"/>
          <w:sz w:val="32"/>
          <w:szCs w:val="32"/>
          <w:highlight w:val="none"/>
        </w:rPr>
        <w:t>1</w:t>
      </w:r>
      <w:r>
        <w:rPr>
          <w:rFonts w:hint="default" w:ascii="Times New Roman" w:hAnsi="Times New Roman" w:eastAsia="仿宋_GB2312" w:cs="Times New Roman"/>
          <w:b/>
          <w:bCs w:val="0"/>
          <w:i w:val="0"/>
          <w:caps w:val="0"/>
          <w:color w:val="auto"/>
          <w:spacing w:val="0"/>
          <w:sz w:val="32"/>
          <w:szCs w:val="32"/>
          <w:highlight w:val="none"/>
          <w:lang w:val="en-US" w:eastAsia="zh-CN"/>
        </w:rPr>
        <w:t>.坚决遏制高耗能、高排放、低水平项目盲目发展。</w:t>
      </w:r>
      <w:r>
        <w:rPr>
          <w:rFonts w:hint="default" w:ascii="Times New Roman" w:hAnsi="Times New Roman" w:eastAsia="仿宋_GB2312" w:cs="Times New Roman"/>
          <w:b w:val="0"/>
          <w:bCs/>
          <w:i w:val="0"/>
          <w:caps w:val="0"/>
          <w:color w:val="auto"/>
          <w:spacing w:val="0"/>
          <w:sz w:val="32"/>
          <w:szCs w:val="32"/>
          <w:highlight w:val="none"/>
          <w:lang w:val="en-US" w:eastAsia="zh-CN"/>
        </w:rPr>
        <w:t>新改扩建项目应符合“三区三线”和国土空间规划管控要求，严格落实国家和自治区产业规划、产业政策、生态环境分区管控方案、规划环评，项目环评、节能审查、产能置换、重点污染物总量控制、主要污染物排放区域削减、碳排放达峰目标等相关要求。拟建、在建的高耗能行业重点领域项目按照《国家发展改革委等部门关于严格能效约束推动重点领域节能降碳的若干意见》（发改产业〔2021〕1464号）、《国家发展改革委等部门关于发布〈工业重点领域能效标杆水平和基准水平（2023年版）〉的通知》（发改产业〔2023〕723号）等文件要求，应对照能效标杆水平建设实施，推动能效水平应提尽提，力争全面达到标杆水平。根据能耗、产能、生态环境容量等制约要素，进一步完善淘汰落后产能的机制和制度建设，依法依规退出重点行业落后产能。根据《产业结构调整指导目录（2024年本）》要求，大力推进绿色产品、低碳产品认证，加快退出已纳入淘汰类和限制类名单中的工艺和装备。推行钢铁、焦化、烧结一体化布局，减少独立焦化、烧结、球团和热轧企业及工序；淘汰落后煤炭洗选产能；</w:t>
      </w:r>
      <w:r>
        <w:rPr>
          <w:rFonts w:hint="eastAsia" w:ascii="Times New Roman" w:hAnsi="Times New Roman" w:eastAsia="仿宋_GB2312" w:cs="Times New Roman"/>
          <w:b w:val="0"/>
          <w:bCs/>
          <w:i w:val="0"/>
          <w:caps w:val="0"/>
          <w:color w:val="auto"/>
          <w:spacing w:val="0"/>
          <w:sz w:val="32"/>
          <w:szCs w:val="32"/>
          <w:highlight w:val="none"/>
          <w:lang w:val="en-US" w:eastAsia="zh-CN"/>
        </w:rPr>
        <w:t>按自治区要求</w:t>
      </w:r>
      <w:r>
        <w:rPr>
          <w:rFonts w:hint="default" w:ascii="Times New Roman" w:hAnsi="Times New Roman" w:eastAsia="仿宋_GB2312" w:cs="Times New Roman"/>
          <w:b w:val="0"/>
          <w:bCs/>
          <w:i w:val="0"/>
          <w:caps w:val="0"/>
          <w:color w:val="auto"/>
          <w:spacing w:val="0"/>
          <w:sz w:val="32"/>
          <w:szCs w:val="32"/>
          <w:highlight w:val="none"/>
          <w:lang w:val="en-US" w:eastAsia="zh-CN"/>
        </w:rPr>
        <w:t>有序引导高炉—转炉长流程炼钢转型为电炉短流程炼钢。</w:t>
      </w:r>
      <w:r>
        <w:rPr>
          <w:rFonts w:hint="eastAsia" w:ascii="楷体_GB2312" w:hAnsi="楷体_GB2312" w:eastAsia="楷体_GB2312" w:cs="楷体_GB2312"/>
          <w:b w:val="0"/>
          <w:bCs/>
          <w:i w:val="0"/>
          <w:caps w:val="0"/>
          <w:color w:val="auto"/>
          <w:spacing w:val="0"/>
          <w:sz w:val="32"/>
          <w:szCs w:val="32"/>
          <w:highlight w:val="none"/>
          <w:lang w:eastAsia="zh-CN"/>
        </w:rPr>
        <w:t>（牵头单位：市发展改革委、市工业和信息化局、市生态环境局。责任单位：市自然资源和规划局、市市场监管局等；各县、区人民政府，新区管委会）</w:t>
      </w:r>
    </w:p>
    <w:p>
      <w:pPr>
        <w:keepNext w:val="0"/>
        <w:keepLines w:val="0"/>
        <w:pageBreakBefore w:val="0"/>
        <w:kinsoku/>
        <w:wordWrap/>
        <w:topLinePunct w:val="0"/>
        <w:autoSpaceDE/>
        <w:autoSpaceDN/>
        <w:bidi w:val="0"/>
        <w:snapToGrid/>
        <w:spacing w:line="580" w:lineRule="exact"/>
        <w:ind w:firstLine="642" w:firstLineChars="200"/>
        <w:textAlignment w:val="auto"/>
        <w:rPr>
          <w:rFonts w:hint="default" w:ascii="楷体_GB2312" w:hAnsi="楷体_GB2312" w:eastAsia="楷体_GB2312" w:cs="楷体_GB2312"/>
          <w:b w:val="0"/>
          <w:bCs/>
          <w:i w:val="0"/>
          <w:caps w:val="0"/>
          <w:color w:val="auto"/>
          <w:spacing w:val="0"/>
          <w:sz w:val="32"/>
          <w:szCs w:val="32"/>
          <w:highlight w:val="none"/>
          <w:lang w:val="en-US" w:eastAsia="zh-CN"/>
        </w:rPr>
      </w:pPr>
      <w:r>
        <w:rPr>
          <w:rFonts w:hint="default" w:ascii="Times New Roman" w:hAnsi="Times New Roman" w:eastAsia="仿宋_GB2312" w:cs="Times New Roman"/>
          <w:b/>
          <w:bCs w:val="0"/>
          <w:i w:val="0"/>
          <w:caps w:val="0"/>
          <w:color w:val="auto"/>
          <w:spacing w:val="0"/>
          <w:sz w:val="32"/>
          <w:szCs w:val="32"/>
          <w:highlight w:val="none"/>
          <w:lang w:val="en-US" w:eastAsia="zh-CN"/>
        </w:rPr>
        <w:t>2.加快能源绿色低碳转型。</w:t>
      </w:r>
      <w:r>
        <w:rPr>
          <w:rFonts w:hint="default" w:ascii="Times New Roman" w:hAnsi="Times New Roman" w:eastAsia="仿宋_GB2312" w:cs="Times New Roman"/>
          <w:b w:val="0"/>
          <w:bCs/>
          <w:i w:val="0"/>
          <w:caps w:val="0"/>
          <w:color w:val="auto"/>
          <w:spacing w:val="0"/>
          <w:sz w:val="32"/>
          <w:szCs w:val="32"/>
          <w:highlight w:val="none"/>
          <w:lang w:val="en-US" w:eastAsia="zh-CN"/>
        </w:rPr>
        <w:t>优化能耗调控制度，扎实推动节能降耗，大力发展新能源和清洁能源，非化石能源逐步成为能源消费增量主体。严格合理控制煤炭，有序淘汰煤电落后产能，分类处置符合淘汰关停条件和服役期满的煤电机组。新增煤电机组煤耗标准达到国际先进水平，持续推动供电煤耗在300克标准煤/千瓦时以上具备条件的煤电机组开展超低排放和节能升级改造。严格规范燃煤自备电厂运行管理，除国家政策允许的领域外，原则上不再新增自备燃煤机组，支持自备燃煤机组实施清洁能源替代。着力整合供热资源，加快供热区域热网互联互通，充分释放燃煤电厂、工业余热等供热能力，发展长输供热项目，淘汰管网覆盖范围内的燃煤锅炉和散煤。实施工业炉窑清洁能源替代，在冶金、水泥等行业有序推进以电代煤、积极稳妥推进以气代煤，鼓励高效利用可再生能源。安全稳妥推进使用高污染燃料的工业炉窑改用工业余热、电能、天然气等，新改扩建工业炉窑原则上采用清洁低碳能源；燃料类煤气发生炉实行清洁能源替代，或因地制宜采取园区（集群）集中供气、分散使用方式；逐步淘汰固定床间歇式煤气发生炉。</w:t>
      </w:r>
      <w:r>
        <w:rPr>
          <w:rFonts w:hint="default" w:ascii="楷体_GB2312" w:hAnsi="楷体_GB2312" w:eastAsia="楷体_GB2312" w:cs="楷体_GB2312"/>
          <w:b w:val="0"/>
          <w:bCs/>
          <w:i w:val="0"/>
          <w:caps w:val="0"/>
          <w:color w:val="auto"/>
          <w:spacing w:val="0"/>
          <w:sz w:val="32"/>
          <w:szCs w:val="32"/>
          <w:highlight w:val="none"/>
          <w:lang w:eastAsia="zh-CN"/>
        </w:rPr>
        <w:t>（牵头单位：市发展改革委、市工业和信息化局、市住房城乡建设局。责任单位：市生态环境局、市</w:t>
      </w:r>
      <w:r>
        <w:rPr>
          <w:rFonts w:hint="eastAsia" w:ascii="楷体_GB2312" w:hAnsi="楷体_GB2312" w:eastAsia="楷体_GB2312" w:cs="楷体_GB2312"/>
          <w:b w:val="0"/>
          <w:bCs/>
          <w:i w:val="0"/>
          <w:caps w:val="0"/>
          <w:color w:val="auto"/>
          <w:spacing w:val="0"/>
          <w:sz w:val="32"/>
          <w:szCs w:val="32"/>
          <w:highlight w:val="none"/>
          <w:lang w:eastAsia="zh-CN"/>
        </w:rPr>
        <w:t>统计</w:t>
      </w:r>
      <w:r>
        <w:rPr>
          <w:rFonts w:hint="default" w:ascii="楷体_GB2312" w:hAnsi="楷体_GB2312" w:eastAsia="楷体_GB2312" w:cs="楷体_GB2312"/>
          <w:b w:val="0"/>
          <w:bCs/>
          <w:i w:val="0"/>
          <w:caps w:val="0"/>
          <w:color w:val="auto"/>
          <w:spacing w:val="0"/>
          <w:sz w:val="32"/>
          <w:szCs w:val="32"/>
          <w:highlight w:val="none"/>
          <w:lang w:eastAsia="zh-CN"/>
        </w:rPr>
        <w:t>局、市市场监管局；各县、区人民政府，</w:t>
      </w:r>
      <w:r>
        <w:rPr>
          <w:rFonts w:hint="eastAsia" w:ascii="楷体_GB2312" w:hAnsi="楷体_GB2312" w:eastAsia="楷体_GB2312" w:cs="楷体_GB2312"/>
          <w:b w:val="0"/>
          <w:bCs/>
          <w:i w:val="0"/>
          <w:caps w:val="0"/>
          <w:color w:val="auto"/>
          <w:spacing w:val="0"/>
          <w:sz w:val="32"/>
          <w:szCs w:val="32"/>
          <w:highlight w:val="none"/>
          <w:lang w:eastAsia="zh-CN"/>
        </w:rPr>
        <w:t>新区管委会</w:t>
      </w:r>
      <w:r>
        <w:rPr>
          <w:rFonts w:hint="default" w:ascii="楷体_GB2312" w:hAnsi="楷体_GB2312" w:eastAsia="楷体_GB2312" w:cs="楷体_GB2312"/>
          <w:b w:val="0"/>
          <w:bCs/>
          <w:i w:val="0"/>
          <w:caps w:val="0"/>
          <w:color w:val="auto"/>
          <w:spacing w:val="0"/>
          <w:sz w:val="32"/>
          <w:szCs w:val="32"/>
          <w:highlight w:val="none"/>
          <w:lang w:eastAsia="zh-CN"/>
        </w:rPr>
        <w:t>）</w:t>
      </w:r>
    </w:p>
    <w:p>
      <w:pPr>
        <w:keepNext w:val="0"/>
        <w:keepLines w:val="0"/>
        <w:pageBreakBefore w:val="0"/>
        <w:numPr>
          <w:ilvl w:val="0"/>
          <w:numId w:val="0"/>
        </w:numPr>
        <w:kinsoku/>
        <w:wordWrap/>
        <w:topLinePunct w:val="0"/>
        <w:autoSpaceDE/>
        <w:autoSpaceDN/>
        <w:bidi w:val="0"/>
        <w:snapToGrid/>
        <w:spacing w:line="580" w:lineRule="exact"/>
        <w:ind w:firstLine="642" w:firstLineChars="200"/>
        <w:textAlignment w:val="auto"/>
        <w:rPr>
          <w:rFonts w:hint="default" w:ascii="楷体_GB2312" w:hAnsi="楷体_GB2312" w:eastAsia="楷体_GB2312" w:cs="楷体_GB2312"/>
          <w:b w:val="0"/>
          <w:bCs/>
          <w:i w:val="0"/>
          <w:caps w:val="0"/>
          <w:color w:val="auto"/>
          <w:spacing w:val="0"/>
          <w:sz w:val="32"/>
          <w:szCs w:val="32"/>
          <w:highlight w:val="none"/>
          <w:lang w:eastAsia="zh-CN"/>
        </w:rPr>
      </w:pPr>
      <w:r>
        <w:rPr>
          <w:rFonts w:hint="default" w:ascii="Times New Roman" w:hAnsi="Times New Roman" w:eastAsia="仿宋_GB2312" w:cs="Times New Roman"/>
          <w:b/>
          <w:bCs w:val="0"/>
          <w:i w:val="0"/>
          <w:caps w:val="0"/>
          <w:color w:val="auto"/>
          <w:spacing w:val="0"/>
          <w:sz w:val="32"/>
          <w:szCs w:val="32"/>
          <w:highlight w:val="none"/>
          <w:lang w:val="en-US" w:eastAsia="zh-CN"/>
        </w:rPr>
        <w:t>3.推进传统产业集群规范发展。</w:t>
      </w:r>
      <w:r>
        <w:rPr>
          <w:rFonts w:hint="default" w:ascii="Times New Roman" w:hAnsi="Times New Roman" w:eastAsia="仿宋_GB2312" w:cs="Times New Roman"/>
          <w:b w:val="0"/>
          <w:bCs/>
          <w:i w:val="0"/>
          <w:caps w:val="0"/>
          <w:color w:val="auto"/>
          <w:spacing w:val="0"/>
          <w:sz w:val="32"/>
          <w:szCs w:val="32"/>
          <w:highlight w:val="none"/>
          <w:lang w:val="en-US" w:eastAsia="zh-CN"/>
        </w:rPr>
        <w:t>制定涉气产业集群发展规划，严格项目审批，严防污染下乡。针对精细化工、纺织印染、包装印刷、家具、人造板、橡胶制品、塑料制品、砖瓦、机械喷漆加工等企业集群，开展排查及分类治理，对问题较多的企业集群制定“一群一策”专项整治方案，从生产工艺、产品质量、产能规模、能耗水平、燃料类型、原辅材料替代、污染治理和区域环境综合整治等方面明确升级改造标准，对排放量大，排放烯烃、芳香烃、醛类等为主要污染物的企业要制定“一企一策”治理方案。要实施拉单挂账式管理，依法依规淘汰关停一批、搬迁入园一批、就地改造一批、做优做强一批，切实提升产业发展质量和环保治理水平。鼓励条件成熟的工业园区和企业集群建设集中涂装中心、活性炭集中再生中心、有机溶剂集中回收处置中心。</w:t>
      </w:r>
      <w:r>
        <w:rPr>
          <w:rFonts w:hint="default" w:ascii="楷体_GB2312" w:hAnsi="楷体_GB2312" w:eastAsia="楷体_GB2312" w:cs="楷体_GB2312"/>
          <w:b w:val="0"/>
          <w:bCs/>
          <w:i w:val="0"/>
          <w:caps w:val="0"/>
          <w:color w:val="auto"/>
          <w:spacing w:val="0"/>
          <w:sz w:val="32"/>
          <w:szCs w:val="32"/>
          <w:highlight w:val="none"/>
          <w:lang w:eastAsia="zh-CN"/>
        </w:rPr>
        <w:t>（牵头单位：市生态环境局。责任单位：市工业和信息化局、市发展改革委；各县、区人民政府，</w:t>
      </w:r>
      <w:r>
        <w:rPr>
          <w:rFonts w:hint="eastAsia" w:ascii="楷体_GB2312" w:hAnsi="楷体_GB2312" w:eastAsia="楷体_GB2312" w:cs="楷体_GB2312"/>
          <w:b w:val="0"/>
          <w:bCs/>
          <w:i w:val="0"/>
          <w:caps w:val="0"/>
          <w:color w:val="auto"/>
          <w:spacing w:val="0"/>
          <w:sz w:val="32"/>
          <w:szCs w:val="32"/>
          <w:highlight w:val="none"/>
          <w:lang w:eastAsia="zh-CN"/>
        </w:rPr>
        <w:t>新区管委会</w:t>
      </w:r>
      <w:r>
        <w:rPr>
          <w:rFonts w:hint="default" w:ascii="楷体_GB2312" w:hAnsi="楷体_GB2312" w:eastAsia="楷体_GB2312" w:cs="楷体_GB2312"/>
          <w:b w:val="0"/>
          <w:bCs/>
          <w:i w:val="0"/>
          <w:caps w:val="0"/>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b w:val="0"/>
          <w:bCs/>
          <w:i w:val="0"/>
          <w:caps w:val="0"/>
          <w:color w:val="auto"/>
          <w:spacing w:val="0"/>
          <w:sz w:val="32"/>
          <w:szCs w:val="32"/>
          <w:highlight w:val="none"/>
          <w:lang w:eastAsia="zh-CN"/>
        </w:rPr>
      </w:pPr>
      <w:r>
        <w:rPr>
          <w:rFonts w:hint="default" w:ascii="楷体_GB2312" w:hAnsi="楷体_GB2312" w:eastAsia="楷体_GB2312" w:cs="楷体_GB2312"/>
          <w:b w:val="0"/>
          <w:bCs/>
          <w:i w:val="0"/>
          <w:caps w:val="0"/>
          <w:color w:val="auto"/>
          <w:spacing w:val="0"/>
          <w:sz w:val="32"/>
          <w:szCs w:val="32"/>
          <w:highlight w:val="none"/>
        </w:rPr>
        <w:t>（</w:t>
      </w:r>
      <w:r>
        <w:rPr>
          <w:rFonts w:hint="default" w:ascii="楷体_GB2312" w:hAnsi="楷体_GB2312" w:eastAsia="楷体_GB2312" w:cs="楷体_GB2312"/>
          <w:b w:val="0"/>
          <w:bCs/>
          <w:i w:val="0"/>
          <w:caps w:val="0"/>
          <w:color w:val="auto"/>
          <w:spacing w:val="0"/>
          <w:sz w:val="32"/>
          <w:szCs w:val="32"/>
          <w:highlight w:val="none"/>
          <w:lang w:eastAsia="zh-CN"/>
        </w:rPr>
        <w:t>二</w:t>
      </w:r>
      <w:r>
        <w:rPr>
          <w:rFonts w:hint="default" w:ascii="楷体_GB2312" w:hAnsi="楷体_GB2312" w:eastAsia="楷体_GB2312" w:cs="楷体_GB2312"/>
          <w:b w:val="0"/>
          <w:bCs/>
          <w:i w:val="0"/>
          <w:caps w:val="0"/>
          <w:color w:val="auto"/>
          <w:spacing w:val="0"/>
          <w:sz w:val="32"/>
          <w:szCs w:val="32"/>
          <w:highlight w:val="none"/>
        </w:rPr>
        <w:t>）强化多污染物减排，切实降低排放强度</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楷体_GB2312" w:hAnsi="楷体_GB2312" w:eastAsia="楷体_GB2312" w:cs="楷体_GB2312"/>
          <w:b w:val="0"/>
          <w:bCs/>
          <w:i w:val="0"/>
          <w:caps w:val="0"/>
          <w:color w:val="auto"/>
          <w:spacing w:val="0"/>
          <w:sz w:val="32"/>
          <w:szCs w:val="32"/>
          <w:highlight w:val="none"/>
          <w:lang w:val="en-US" w:eastAsia="zh-CN"/>
        </w:rPr>
      </w:pPr>
      <w:r>
        <w:rPr>
          <w:rFonts w:hint="default" w:ascii="Times New Roman" w:hAnsi="Times New Roman" w:eastAsia="仿宋_GB2312" w:cs="Times New Roman"/>
          <w:b/>
          <w:bCs w:val="0"/>
          <w:i w:val="0"/>
          <w:caps w:val="0"/>
          <w:color w:val="auto"/>
          <w:spacing w:val="0"/>
          <w:sz w:val="32"/>
          <w:szCs w:val="32"/>
          <w:highlight w:val="none"/>
          <w:lang w:val="en-US" w:eastAsia="zh-CN"/>
        </w:rPr>
        <w:t>1.优化含VOCs原辅材料和产品结构。</w:t>
      </w:r>
      <w:r>
        <w:rPr>
          <w:rFonts w:hint="default" w:ascii="Times New Roman" w:hAnsi="Times New Roman" w:eastAsia="仿宋_GB2312" w:cs="Times New Roman"/>
          <w:b w:val="0"/>
          <w:bCs/>
          <w:i w:val="0"/>
          <w:caps w:val="0"/>
          <w:color w:val="auto"/>
          <w:spacing w:val="0"/>
          <w:sz w:val="32"/>
          <w:szCs w:val="32"/>
          <w:highlight w:val="none"/>
          <w:lang w:val="en-US" w:eastAsia="zh-CN"/>
        </w:rPr>
        <w:t>严格控制生产和使用高VOCs含量涂料、油墨、胶粘剂、清洗剂等建设项目，提高低（无）VOCs含量产品比重。</w:t>
      </w:r>
      <w:r>
        <w:rPr>
          <w:rFonts w:hint="eastAsia" w:ascii="Times New Roman" w:hAnsi="Times New Roman" w:eastAsia="仿宋_GB2312" w:cs="Times New Roman"/>
          <w:b w:val="0"/>
          <w:bCs/>
          <w:i w:val="0"/>
          <w:caps w:val="0"/>
          <w:color w:val="auto"/>
          <w:spacing w:val="0"/>
          <w:sz w:val="32"/>
          <w:szCs w:val="32"/>
          <w:highlight w:val="none"/>
          <w:lang w:val="en-US" w:eastAsia="zh-CN"/>
        </w:rPr>
        <w:t>各县（区）、新区</w:t>
      </w:r>
      <w:r>
        <w:rPr>
          <w:rFonts w:hint="default" w:ascii="Times New Roman" w:hAnsi="Times New Roman" w:eastAsia="仿宋_GB2312" w:cs="Times New Roman"/>
          <w:b w:val="0"/>
          <w:bCs/>
          <w:i w:val="0"/>
          <w:caps w:val="0"/>
          <w:color w:val="auto"/>
          <w:spacing w:val="0"/>
          <w:sz w:val="32"/>
          <w:szCs w:val="32"/>
          <w:highlight w:val="none"/>
          <w:lang w:val="en-US" w:eastAsia="zh-CN"/>
        </w:rPr>
        <w:t>2024年6月底前研究制定本辖区涉VOCs企业低VOCs原辅材料源头替代实施计划，推进实现应替尽替。实施源头替代工程，加大工业涂装、包装印刷和电子行业低（无）VOCs含量原辅材料替代力度，新改扩建的出版物印刷类项目应使用低VOCs含量的油墨。室外构筑物防护和城市道路交通标志推广使用低（无）VOCs含量涂料。在生产、销售、进口、使用等环节严格执行VOCs含量限值标准。规范台账管理，应用涂装工艺的工业企业应建立记录生产原辅材料的使用量、VOCs含量、废弃量及去向的台账，保存期限不少于三年。落实低VOCs含量原辅材料监管要求，对采用符合国家有关低VOCs含量产品规定的涂料、油墨、胶粘剂等，排放浓度稳定达标且排放速率满足相关规定的企业，对其相应生产工序可不作末端治理设施建设要求；对使用原辅材料VOCs含量（质量比）均低于10%的企业，相应生产工序可不作无组织排放收集和处理要求。</w:t>
      </w:r>
      <w:r>
        <w:rPr>
          <w:rFonts w:hint="default" w:ascii="楷体_GB2312" w:hAnsi="楷体_GB2312" w:eastAsia="楷体_GB2312" w:cs="楷体_GB2312"/>
          <w:b w:val="0"/>
          <w:bCs/>
          <w:i w:val="0"/>
          <w:caps w:val="0"/>
          <w:color w:val="auto"/>
          <w:spacing w:val="0"/>
          <w:sz w:val="32"/>
          <w:szCs w:val="32"/>
          <w:highlight w:val="none"/>
          <w:lang w:eastAsia="zh-CN"/>
        </w:rPr>
        <w:t>（牵头单位：市生态环境局</w:t>
      </w:r>
      <w:r>
        <w:rPr>
          <w:rFonts w:hint="eastAsia" w:ascii="楷体_GB2312" w:hAnsi="楷体_GB2312" w:eastAsia="楷体_GB2312" w:cs="楷体_GB2312"/>
          <w:b w:val="0"/>
          <w:bCs/>
          <w:i w:val="0"/>
          <w:caps w:val="0"/>
          <w:color w:val="auto"/>
          <w:spacing w:val="0"/>
          <w:sz w:val="32"/>
          <w:szCs w:val="32"/>
          <w:highlight w:val="none"/>
          <w:lang w:eastAsia="zh-CN"/>
        </w:rPr>
        <w:t>、</w:t>
      </w:r>
      <w:r>
        <w:rPr>
          <w:rFonts w:hint="default" w:ascii="楷体_GB2312" w:hAnsi="楷体_GB2312" w:eastAsia="楷体_GB2312" w:cs="楷体_GB2312"/>
          <w:b w:val="0"/>
          <w:bCs/>
          <w:i w:val="0"/>
          <w:caps w:val="0"/>
          <w:color w:val="auto"/>
          <w:spacing w:val="0"/>
          <w:sz w:val="32"/>
          <w:szCs w:val="32"/>
          <w:highlight w:val="none"/>
          <w:lang w:eastAsia="zh-CN"/>
        </w:rPr>
        <w:t>市工业和信息化局、市市场监管局、市住房城乡建设局。责任单位：各县、区人民政府，</w:t>
      </w:r>
      <w:r>
        <w:rPr>
          <w:rFonts w:hint="eastAsia" w:ascii="楷体_GB2312" w:hAnsi="楷体_GB2312" w:eastAsia="楷体_GB2312" w:cs="楷体_GB2312"/>
          <w:b w:val="0"/>
          <w:bCs/>
          <w:i w:val="0"/>
          <w:caps w:val="0"/>
          <w:color w:val="auto"/>
          <w:spacing w:val="0"/>
          <w:sz w:val="32"/>
          <w:szCs w:val="32"/>
          <w:highlight w:val="none"/>
          <w:lang w:eastAsia="zh-CN"/>
        </w:rPr>
        <w:t>新区管委会</w:t>
      </w:r>
      <w:r>
        <w:rPr>
          <w:rFonts w:hint="default" w:ascii="楷体_GB2312" w:hAnsi="楷体_GB2312" w:eastAsia="楷体_GB2312" w:cs="楷体_GB2312"/>
          <w:b w:val="0"/>
          <w:bCs/>
          <w:i w:val="0"/>
          <w:caps w:val="0"/>
          <w:color w:val="auto"/>
          <w:spacing w:val="0"/>
          <w:sz w:val="32"/>
          <w:szCs w:val="32"/>
          <w:highlight w:val="none"/>
          <w:lang w:eastAsia="zh-CN"/>
        </w:rPr>
        <w:t>）</w:t>
      </w:r>
    </w:p>
    <w:p>
      <w:pPr>
        <w:keepNext w:val="0"/>
        <w:keepLines w:val="0"/>
        <w:pageBreakBefore w:val="0"/>
        <w:kinsoku/>
        <w:wordWrap/>
        <w:topLinePunct w:val="0"/>
        <w:autoSpaceDE/>
        <w:autoSpaceDN/>
        <w:bidi w:val="0"/>
        <w:snapToGrid/>
        <w:spacing w:line="580" w:lineRule="exact"/>
        <w:ind w:firstLine="642" w:firstLineChars="200"/>
        <w:textAlignment w:val="auto"/>
        <w:rPr>
          <w:rFonts w:hint="default" w:ascii="楷体_GB2312" w:hAnsi="楷体_GB2312" w:eastAsia="楷体_GB2312" w:cs="楷体_GB2312"/>
          <w:b w:val="0"/>
          <w:bCs/>
          <w:i w:val="0"/>
          <w:caps w:val="0"/>
          <w:color w:val="auto"/>
          <w:spacing w:val="0"/>
          <w:sz w:val="32"/>
          <w:szCs w:val="32"/>
          <w:highlight w:val="none"/>
          <w:lang w:val="en-US" w:eastAsia="zh-CN"/>
        </w:rPr>
      </w:pPr>
      <w:r>
        <w:rPr>
          <w:rFonts w:hint="default" w:ascii="Times New Roman" w:hAnsi="Times New Roman" w:eastAsia="仿宋_GB2312" w:cs="Times New Roman"/>
          <w:b/>
          <w:bCs w:val="0"/>
          <w:i w:val="0"/>
          <w:caps w:val="0"/>
          <w:color w:val="auto"/>
          <w:spacing w:val="0"/>
          <w:sz w:val="32"/>
          <w:szCs w:val="32"/>
          <w:highlight w:val="none"/>
          <w:lang w:val="en-US" w:eastAsia="zh-CN"/>
        </w:rPr>
        <w:t>2.强化VOCs全流程、全环节综合治理。</w:t>
      </w:r>
      <w:r>
        <w:rPr>
          <w:rFonts w:hint="default" w:ascii="Times New Roman" w:hAnsi="Times New Roman" w:eastAsia="仿宋_GB2312" w:cs="Times New Roman"/>
          <w:b w:val="0"/>
          <w:bCs/>
          <w:i w:val="0"/>
          <w:caps w:val="0"/>
          <w:color w:val="auto"/>
          <w:spacing w:val="0"/>
          <w:sz w:val="32"/>
          <w:szCs w:val="32"/>
          <w:highlight w:val="none"/>
          <w:lang w:val="en-US" w:eastAsia="zh-CN"/>
        </w:rPr>
        <w:t>以化工、工业涂装、包装印刷和油品储运销为重点，按照《关于加快解决当前挥发性有机物治理突出问题的通知》（环大气〔2021〕65号）提出的10个关键环节，持续开展排查整治工作。加强企业运行管理，规范开展泄漏检测与修复（LDAR），全面提升动静密封点精细化管理水平；鼓励储罐使用低泄漏的呼吸阀、紧急泄压阀，定期开展密封性检测。推广汽车罐车使用密封式快速接头；</w:t>
      </w:r>
      <w:r>
        <w:rPr>
          <w:rFonts w:hint="eastAsia" w:ascii="Times New Roman" w:hAnsi="Times New Roman" w:eastAsia="仿宋_GB2312" w:cs="Times New Roman"/>
          <w:b w:val="0"/>
          <w:bCs/>
          <w:i w:val="0"/>
          <w:caps w:val="0"/>
          <w:color w:val="auto"/>
          <w:spacing w:val="0"/>
          <w:sz w:val="32"/>
          <w:szCs w:val="32"/>
          <w:highlight w:val="none"/>
          <w:lang w:val="en-US" w:eastAsia="zh-CN"/>
        </w:rPr>
        <w:t>指导推动</w:t>
      </w:r>
      <w:r>
        <w:rPr>
          <w:rFonts w:hint="default" w:ascii="Times New Roman" w:hAnsi="Times New Roman" w:eastAsia="仿宋_GB2312" w:cs="Times New Roman"/>
          <w:b w:val="0"/>
          <w:bCs/>
          <w:i w:val="0"/>
          <w:caps w:val="0"/>
          <w:color w:val="auto"/>
          <w:spacing w:val="0"/>
          <w:sz w:val="32"/>
          <w:szCs w:val="32"/>
          <w:highlight w:val="none"/>
          <w:lang w:val="en-US" w:eastAsia="zh-CN"/>
        </w:rPr>
        <w:t>污水处理场所单独收集处理高浓度有机废气；</w:t>
      </w:r>
      <w:r>
        <w:rPr>
          <w:rFonts w:hint="eastAsia" w:ascii="Times New Roman" w:hAnsi="Times New Roman" w:eastAsia="仿宋_GB2312" w:cs="Times New Roman"/>
          <w:b w:val="0"/>
          <w:bCs/>
          <w:i w:val="0"/>
          <w:caps w:val="0"/>
          <w:color w:val="auto"/>
          <w:spacing w:val="0"/>
          <w:sz w:val="32"/>
          <w:szCs w:val="32"/>
          <w:highlight w:val="none"/>
          <w:lang w:val="en-US" w:eastAsia="zh-CN"/>
        </w:rPr>
        <w:t>指导推动</w:t>
      </w:r>
      <w:r>
        <w:rPr>
          <w:rFonts w:hint="default" w:ascii="Times New Roman" w:hAnsi="Times New Roman" w:eastAsia="仿宋_GB2312" w:cs="Times New Roman"/>
          <w:b w:val="0"/>
          <w:bCs/>
          <w:i w:val="0"/>
          <w:caps w:val="0"/>
          <w:color w:val="auto"/>
          <w:spacing w:val="0"/>
          <w:sz w:val="32"/>
          <w:szCs w:val="32"/>
          <w:highlight w:val="none"/>
          <w:lang w:val="en-US" w:eastAsia="zh-CN"/>
        </w:rPr>
        <w:t>含VOCs有机废水储罐、装置区集水井（池）有机废气进行密闭收集处理。</w:t>
      </w:r>
      <w:r>
        <w:rPr>
          <w:rFonts w:hint="eastAsia" w:ascii="Times New Roman" w:hAnsi="Times New Roman" w:eastAsia="仿宋_GB2312" w:cs="Times New Roman"/>
          <w:b w:val="0"/>
          <w:bCs/>
          <w:i w:val="0"/>
          <w:caps w:val="0"/>
          <w:color w:val="auto"/>
          <w:spacing w:val="0"/>
          <w:sz w:val="32"/>
          <w:szCs w:val="32"/>
          <w:highlight w:val="none"/>
          <w:lang w:val="en-US" w:eastAsia="zh-CN"/>
        </w:rPr>
        <w:t>指导推动</w:t>
      </w:r>
      <w:r>
        <w:rPr>
          <w:rFonts w:hint="default" w:ascii="Times New Roman" w:hAnsi="Times New Roman" w:eastAsia="仿宋_GB2312" w:cs="Times New Roman"/>
          <w:b w:val="0"/>
          <w:bCs/>
          <w:i w:val="0"/>
          <w:caps w:val="0"/>
          <w:color w:val="auto"/>
          <w:spacing w:val="0"/>
          <w:sz w:val="32"/>
          <w:szCs w:val="32"/>
          <w:highlight w:val="none"/>
          <w:lang w:val="en-US" w:eastAsia="zh-CN"/>
        </w:rPr>
        <w:t>企业在开停工、检维修期间，及时收集处理退料、清洗、吹扫等作业产生的VOCs废气。</w:t>
      </w:r>
      <w:r>
        <w:rPr>
          <w:rFonts w:hint="eastAsia" w:ascii="Times New Roman" w:hAnsi="Times New Roman" w:eastAsia="仿宋_GB2312" w:cs="Times New Roman"/>
          <w:b w:val="0"/>
          <w:bCs/>
          <w:i w:val="0"/>
          <w:caps w:val="0"/>
          <w:color w:val="auto"/>
          <w:spacing w:val="0"/>
          <w:sz w:val="32"/>
          <w:szCs w:val="32"/>
          <w:highlight w:val="none"/>
          <w:lang w:val="en-US" w:eastAsia="zh-CN"/>
        </w:rPr>
        <w:t>指导推动</w:t>
      </w:r>
      <w:r>
        <w:rPr>
          <w:rFonts w:hint="default" w:ascii="Times New Roman" w:hAnsi="Times New Roman" w:eastAsia="仿宋_GB2312" w:cs="Times New Roman"/>
          <w:b w:val="0"/>
          <w:bCs/>
          <w:i w:val="0"/>
          <w:caps w:val="0"/>
          <w:color w:val="auto"/>
          <w:spacing w:val="0"/>
          <w:sz w:val="32"/>
          <w:szCs w:val="32"/>
          <w:highlight w:val="none"/>
          <w:lang w:val="en-US" w:eastAsia="zh-CN"/>
        </w:rPr>
        <w:t>企业不得将火炬燃烧装置作为日常大气污染处理设施。</w:t>
      </w:r>
      <w:r>
        <w:rPr>
          <w:rFonts w:hint="default" w:ascii="楷体_GB2312" w:hAnsi="楷体_GB2312" w:eastAsia="楷体_GB2312" w:cs="楷体_GB2312"/>
          <w:b w:val="0"/>
          <w:bCs/>
          <w:i w:val="0"/>
          <w:caps w:val="0"/>
          <w:color w:val="auto"/>
          <w:spacing w:val="0"/>
          <w:sz w:val="32"/>
          <w:szCs w:val="32"/>
          <w:highlight w:val="none"/>
          <w:lang w:val="en-US" w:eastAsia="zh-CN"/>
        </w:rPr>
        <w:t>（牵头单位：市生态环境局。责任单位：各县、区人民政府，</w:t>
      </w:r>
      <w:r>
        <w:rPr>
          <w:rFonts w:hint="eastAsia" w:ascii="楷体_GB2312" w:hAnsi="楷体_GB2312" w:eastAsia="楷体_GB2312" w:cs="楷体_GB2312"/>
          <w:b w:val="0"/>
          <w:bCs/>
          <w:i w:val="0"/>
          <w:caps w:val="0"/>
          <w:color w:val="auto"/>
          <w:spacing w:val="0"/>
          <w:sz w:val="32"/>
          <w:szCs w:val="32"/>
          <w:highlight w:val="none"/>
          <w:lang w:val="en-US" w:eastAsia="zh-CN"/>
        </w:rPr>
        <w:t>新区管委会</w:t>
      </w:r>
      <w:r>
        <w:rPr>
          <w:rFonts w:hint="default" w:ascii="楷体_GB2312" w:hAnsi="楷体_GB2312" w:eastAsia="楷体_GB2312" w:cs="楷体_GB2312"/>
          <w:b w:val="0"/>
          <w:bCs/>
          <w:i w:val="0"/>
          <w:caps w:val="0"/>
          <w:color w:val="auto"/>
          <w:spacing w:val="0"/>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楷体_GB2312" w:hAnsi="楷体_GB2312" w:eastAsia="楷体_GB2312" w:cs="楷体_GB2312"/>
          <w:b w:val="0"/>
          <w:bCs/>
          <w:i w:val="0"/>
          <w:caps w:val="0"/>
          <w:color w:val="auto"/>
          <w:spacing w:val="0"/>
          <w:kern w:val="2"/>
          <w:sz w:val="32"/>
          <w:szCs w:val="32"/>
          <w:highlight w:val="none"/>
          <w:lang w:val="en-US" w:eastAsia="zh-CN" w:bidi="ar-SA"/>
        </w:rPr>
      </w:pPr>
      <w:r>
        <w:rPr>
          <w:rFonts w:hint="default" w:ascii="Times New Roman" w:hAnsi="Times New Roman" w:eastAsia="仿宋_GB2312" w:cs="Times New Roman"/>
          <w:b/>
          <w:bCs w:val="0"/>
          <w:i w:val="0"/>
          <w:caps w:val="0"/>
          <w:color w:val="auto"/>
          <w:spacing w:val="0"/>
          <w:sz w:val="32"/>
          <w:szCs w:val="32"/>
          <w:highlight w:val="none"/>
          <w:lang w:val="en-US" w:eastAsia="zh-CN"/>
        </w:rPr>
        <w:t>3.启动低效（失效）大气污染治理设施排查整治。</w:t>
      </w:r>
      <w:r>
        <w:rPr>
          <w:rFonts w:hint="default" w:ascii="Times New Roman" w:hAnsi="Times New Roman" w:eastAsia="仿宋_GB2312" w:cs="Times New Roman"/>
          <w:b w:val="0"/>
          <w:bCs/>
          <w:i w:val="0"/>
          <w:caps w:val="0"/>
          <w:color w:val="auto"/>
          <w:spacing w:val="0"/>
          <w:sz w:val="32"/>
          <w:szCs w:val="32"/>
          <w:highlight w:val="none"/>
          <w:lang w:val="en-US" w:eastAsia="zh-CN"/>
        </w:rPr>
        <w:t>根据国家相关统一部署要求，组织启动低效（失效）大气污染治理设施排查整治。对钢铁、水泥、焦化等涉工业炉窑行业，</w:t>
      </w:r>
      <w:r>
        <w:rPr>
          <w:rFonts w:hint="default" w:ascii="Times New Roman" w:hAnsi="Times New Roman" w:eastAsia="仿宋_GB2312" w:cs="Times New Roman"/>
          <w:b w:val="0"/>
          <w:bCs/>
          <w:i w:val="0"/>
          <w:caps w:val="0"/>
          <w:strike w:val="0"/>
          <w:dstrike w:val="0"/>
          <w:color w:val="auto"/>
          <w:spacing w:val="0"/>
          <w:sz w:val="32"/>
          <w:szCs w:val="32"/>
          <w:highlight w:val="none"/>
          <w:lang w:val="en-US" w:eastAsia="zh-CN"/>
        </w:rPr>
        <w:t>石油炼制、石油化工、化学原料药和化学农药原药制造等涉VOCs排放行业</w:t>
      </w:r>
      <w:r>
        <w:rPr>
          <w:rFonts w:hint="default" w:ascii="Times New Roman" w:hAnsi="Times New Roman" w:eastAsia="仿宋_GB2312" w:cs="Times New Roman"/>
          <w:b w:val="0"/>
          <w:bCs/>
          <w:i w:val="0"/>
          <w:caps w:val="0"/>
          <w:strike w:val="0"/>
          <w:color w:val="auto"/>
          <w:spacing w:val="0"/>
          <w:sz w:val="32"/>
          <w:szCs w:val="32"/>
          <w:highlight w:val="none"/>
          <w:lang w:val="en-US" w:eastAsia="zh-CN"/>
        </w:rPr>
        <w:t>，以及燃煤、燃油、燃生物质锅炉、30万千瓦以下火电机组，启动大气污染治理设施排查；对砖瓦、</w:t>
      </w:r>
      <w:r>
        <w:rPr>
          <w:rFonts w:hint="default" w:ascii="Times New Roman" w:hAnsi="Times New Roman" w:eastAsia="仿宋_GB2312" w:cs="Times New Roman"/>
          <w:b w:val="0"/>
          <w:bCs/>
          <w:i w:val="0"/>
          <w:caps w:val="0"/>
          <w:strike w:val="0"/>
          <w:dstrike w:val="0"/>
          <w:color w:val="auto"/>
          <w:spacing w:val="0"/>
          <w:sz w:val="32"/>
          <w:szCs w:val="32"/>
          <w:highlight w:val="none"/>
          <w:lang w:val="en-US" w:eastAsia="zh-CN"/>
        </w:rPr>
        <w:t>玻璃、陶瓷、耐火材料、有色、</w:t>
      </w:r>
      <w:r>
        <w:rPr>
          <w:rFonts w:hint="default" w:ascii="Times New Roman" w:hAnsi="Times New Roman" w:eastAsia="仿宋_GB2312" w:cs="Times New Roman"/>
          <w:b w:val="0"/>
          <w:bCs/>
          <w:i w:val="0"/>
          <w:caps w:val="0"/>
          <w:strike w:val="0"/>
          <w:color w:val="auto"/>
          <w:spacing w:val="0"/>
          <w:sz w:val="32"/>
          <w:szCs w:val="32"/>
          <w:highlight w:val="none"/>
          <w:lang w:val="en-US" w:eastAsia="zh-CN"/>
        </w:rPr>
        <w:t>铸造、石灰等其他涉工业炉窑行业，工业涂装、</w:t>
      </w:r>
      <w:r>
        <w:rPr>
          <w:rFonts w:hint="default" w:ascii="Times New Roman" w:hAnsi="Times New Roman" w:eastAsia="仿宋_GB2312" w:cs="Times New Roman"/>
          <w:b w:val="0"/>
          <w:bCs/>
          <w:i w:val="0"/>
          <w:caps w:val="0"/>
          <w:strike w:val="0"/>
          <w:dstrike w:val="0"/>
          <w:color w:val="auto"/>
          <w:spacing w:val="0"/>
          <w:sz w:val="32"/>
          <w:szCs w:val="32"/>
          <w:highlight w:val="none"/>
          <w:lang w:val="en-US" w:eastAsia="zh-CN"/>
        </w:rPr>
        <w:t>包装印刷、有机化工</w:t>
      </w:r>
      <w:r>
        <w:rPr>
          <w:rFonts w:hint="default" w:ascii="Times New Roman" w:hAnsi="Times New Roman" w:eastAsia="仿宋_GB2312" w:cs="Times New Roman"/>
          <w:b w:val="0"/>
          <w:bCs/>
          <w:i w:val="0"/>
          <w:caps w:val="0"/>
          <w:strike w:val="0"/>
          <w:color w:val="auto"/>
          <w:spacing w:val="0"/>
          <w:sz w:val="32"/>
          <w:szCs w:val="32"/>
          <w:highlight w:val="none"/>
          <w:lang w:val="en-US" w:eastAsia="zh-CN"/>
        </w:rPr>
        <w:t>等其他涉VOCs排放行业，排查涉气重点排污单位的大气污染治理设施。</w:t>
      </w:r>
      <w:r>
        <w:rPr>
          <w:rFonts w:hint="default" w:ascii="Times New Roman" w:hAnsi="Times New Roman" w:eastAsia="仿宋_GB2312" w:cs="Times New Roman"/>
          <w:b w:val="0"/>
          <w:bCs/>
          <w:i w:val="0"/>
          <w:caps w:val="0"/>
          <w:color w:val="auto"/>
          <w:spacing w:val="0"/>
          <w:sz w:val="32"/>
          <w:szCs w:val="32"/>
          <w:highlight w:val="none"/>
          <w:lang w:val="en-US" w:eastAsia="zh-CN"/>
        </w:rPr>
        <w:t>基于排污许可信息、重点排污单位名单、应急减排清单、大气污染源排放清单等，制定低效失效大气污染治理设施企业排查名单，组建专业排查队伍团队，对照相关现场检查技术方法开展全面排查，按照上级要求的时间节点完成排查工作，对于能立行立改的问题，要督促企业抓紧整改到位，对于其他问题按照上级要求的时间节点基本完成整治，确需一定整改周期的，最迟在相关设备下次停车（工）大修期间完成整治。</w:t>
      </w:r>
      <w:r>
        <w:rPr>
          <w:rFonts w:hint="default" w:ascii="楷体_GB2312" w:hAnsi="楷体_GB2312" w:eastAsia="楷体_GB2312" w:cs="楷体_GB2312"/>
          <w:b w:val="0"/>
          <w:bCs/>
          <w:i w:val="0"/>
          <w:caps w:val="0"/>
          <w:color w:val="auto"/>
          <w:spacing w:val="0"/>
          <w:kern w:val="2"/>
          <w:sz w:val="32"/>
          <w:szCs w:val="32"/>
          <w:highlight w:val="none"/>
          <w:lang w:val="en-US" w:eastAsia="zh-CN" w:bidi="ar-SA"/>
        </w:rPr>
        <w:t>（牵头单位：市生态环境局。责任单位：各县、区人民政府，</w:t>
      </w:r>
      <w:r>
        <w:rPr>
          <w:rFonts w:hint="eastAsia" w:ascii="楷体_GB2312" w:hAnsi="楷体_GB2312" w:eastAsia="楷体_GB2312" w:cs="楷体_GB2312"/>
          <w:b w:val="0"/>
          <w:bCs/>
          <w:i w:val="0"/>
          <w:caps w:val="0"/>
          <w:color w:val="auto"/>
          <w:spacing w:val="0"/>
          <w:kern w:val="2"/>
          <w:sz w:val="32"/>
          <w:szCs w:val="32"/>
          <w:highlight w:val="none"/>
          <w:lang w:val="en-US" w:eastAsia="zh-CN" w:bidi="ar-SA"/>
        </w:rPr>
        <w:t>新区管委会</w:t>
      </w:r>
      <w:r>
        <w:rPr>
          <w:rFonts w:hint="default" w:ascii="楷体_GB2312" w:hAnsi="楷体_GB2312" w:eastAsia="楷体_GB2312" w:cs="楷体_GB2312"/>
          <w:b w:val="0"/>
          <w:bCs/>
          <w:i w:val="0"/>
          <w:caps w:val="0"/>
          <w:color w:val="auto"/>
          <w:spacing w:val="0"/>
          <w:kern w:val="2"/>
          <w:sz w:val="32"/>
          <w:szCs w:val="32"/>
          <w:highlight w:val="none"/>
          <w:lang w:val="en-US" w:eastAsia="zh-CN" w:bidi="ar-SA"/>
        </w:rPr>
        <w:t>）</w:t>
      </w:r>
    </w:p>
    <w:p>
      <w:pPr>
        <w:keepNext w:val="0"/>
        <w:keepLines w:val="0"/>
        <w:pageBreakBefore w:val="0"/>
        <w:numPr>
          <w:ilvl w:val="0"/>
          <w:numId w:val="0"/>
        </w:numPr>
        <w:kinsoku/>
        <w:wordWrap/>
        <w:topLinePunct w:val="0"/>
        <w:autoSpaceDE/>
        <w:autoSpaceDN/>
        <w:bidi w:val="0"/>
        <w:snapToGrid/>
        <w:spacing w:line="580" w:lineRule="exact"/>
        <w:ind w:firstLine="642" w:firstLineChars="200"/>
        <w:textAlignment w:val="auto"/>
        <w:rPr>
          <w:rFonts w:hint="default" w:ascii="楷体_GB2312" w:hAnsi="楷体_GB2312" w:eastAsia="楷体_GB2312" w:cs="楷体_GB2312"/>
          <w:b w:val="0"/>
          <w:bCs/>
          <w:i w:val="0"/>
          <w:caps w:val="0"/>
          <w:color w:val="auto"/>
          <w:spacing w:val="0"/>
          <w:sz w:val="32"/>
          <w:szCs w:val="32"/>
          <w:highlight w:val="none"/>
          <w:lang w:val="en-US" w:eastAsia="zh-CN"/>
        </w:rPr>
      </w:pPr>
      <w:r>
        <w:rPr>
          <w:rFonts w:hint="default" w:ascii="Times New Roman" w:hAnsi="Times New Roman" w:eastAsia="仿宋_GB2312" w:cs="Times New Roman"/>
          <w:b/>
          <w:bCs w:val="0"/>
          <w:i w:val="0"/>
          <w:caps w:val="0"/>
          <w:color w:val="auto"/>
          <w:spacing w:val="0"/>
          <w:sz w:val="32"/>
          <w:szCs w:val="32"/>
          <w:highlight w:val="none"/>
          <w:lang w:val="en-US" w:eastAsia="zh-CN"/>
        </w:rPr>
        <w:t>4.推进重点行业超低排放改造。</w:t>
      </w:r>
      <w:r>
        <w:rPr>
          <w:rFonts w:hint="default" w:ascii="Times New Roman" w:hAnsi="Times New Roman" w:eastAsia="仿宋_GB2312" w:cs="Times New Roman"/>
          <w:b w:val="0"/>
          <w:bCs/>
          <w:i w:val="0"/>
          <w:caps w:val="0"/>
          <w:color w:val="auto"/>
          <w:spacing w:val="0"/>
          <w:sz w:val="32"/>
          <w:szCs w:val="32"/>
          <w:highlight w:val="none"/>
          <w:lang w:val="en-US" w:eastAsia="zh-CN"/>
        </w:rPr>
        <w:t>高质量推进钢铁、水泥、焦化等重点行业及燃煤锅炉超低排放改造。重点推进广西柳州钢铁集团有限公司各生产环节有组织排放、无组织排放、清洁运输、监测监控系统等全流程超低排放改造。到2024年底前，纳入年度计划的项目100%完成并实现稳定运行。按照《关于推进实施水泥行业超低排放的意见》要求推进水泥行业超低排放改造，2024年5月底前组织辖区内水泥熟料生产企业制定改造计划，确保到2028年底力争80%水泥熟料产能完成改造。新建（含搬迁）水泥（熟料）和独立粉磨站（含生产特种水泥、协同处置固废的水泥企业）项目按照超低排放水平建设。按照《关于推进实施焦化行业超低排放的意见》要求推进焦化行业超低排放改造，2024年5月底前组织辖区内焦化企业（含半焦生产）按照2028年底前完成超低排放改造制定改造计划；正在开展或已完成超低排放改造的钢焦联合企业，要对标对表、查缺补漏，确保焦化工序按期达到相关要求。加快推进65蒸吨/小时以上燃煤锅炉（含电力）超低排放改造和生物质锅炉综合治理。鼓励有提前改造意愿的企业先行开展超低排放改造，对申报中央大气污染防治资金并通过审核入库的项目予以倾斜支持。</w:t>
      </w:r>
      <w:r>
        <w:rPr>
          <w:rFonts w:hint="default" w:ascii="楷体_GB2312" w:hAnsi="楷体_GB2312" w:eastAsia="楷体_GB2312" w:cs="楷体_GB2312"/>
          <w:b w:val="0"/>
          <w:bCs/>
          <w:i w:val="0"/>
          <w:caps w:val="0"/>
          <w:color w:val="auto"/>
          <w:spacing w:val="0"/>
          <w:sz w:val="32"/>
          <w:szCs w:val="32"/>
          <w:highlight w:val="none"/>
          <w:lang w:val="en-US" w:eastAsia="zh-CN"/>
        </w:rPr>
        <w:t>（牵头单位：市生态环境局。责任单位：市工业和信息化局、市发展改革委、市交通运输局、市财政局、市市场监管局；各县、区人民政府，</w:t>
      </w:r>
      <w:r>
        <w:rPr>
          <w:rFonts w:hint="eastAsia" w:ascii="楷体_GB2312" w:hAnsi="楷体_GB2312" w:eastAsia="楷体_GB2312" w:cs="楷体_GB2312"/>
          <w:b w:val="0"/>
          <w:bCs/>
          <w:i w:val="0"/>
          <w:caps w:val="0"/>
          <w:color w:val="auto"/>
          <w:spacing w:val="0"/>
          <w:sz w:val="32"/>
          <w:szCs w:val="32"/>
          <w:highlight w:val="none"/>
          <w:lang w:val="en-US" w:eastAsia="zh-CN"/>
        </w:rPr>
        <w:t>新区管委会</w:t>
      </w:r>
      <w:r>
        <w:rPr>
          <w:rFonts w:hint="default" w:ascii="楷体_GB2312" w:hAnsi="楷体_GB2312" w:eastAsia="楷体_GB2312" w:cs="楷体_GB2312"/>
          <w:b w:val="0"/>
          <w:bCs/>
          <w:i w:val="0"/>
          <w:caps w:val="0"/>
          <w:color w:val="auto"/>
          <w:spacing w:val="0"/>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bCs w:val="0"/>
          <w:i w:val="0"/>
          <w:caps w:val="0"/>
          <w:color w:val="auto"/>
          <w:spacing w:val="0"/>
          <w:kern w:val="2"/>
          <w:sz w:val="32"/>
          <w:szCs w:val="32"/>
          <w:highlight w:val="none"/>
          <w:lang w:val="en-US" w:eastAsia="zh-CN" w:bidi="ar-SA"/>
        </w:rPr>
      </w:pPr>
      <w:r>
        <w:rPr>
          <w:rFonts w:hint="eastAsia" w:ascii="Times New Roman" w:hAnsi="Times New Roman" w:eastAsia="仿宋_GB2312" w:cs="Times New Roman"/>
          <w:b/>
          <w:bCs w:val="0"/>
          <w:i w:val="0"/>
          <w:caps w:val="0"/>
          <w:color w:val="auto"/>
          <w:spacing w:val="0"/>
          <w:kern w:val="2"/>
          <w:sz w:val="32"/>
          <w:szCs w:val="32"/>
          <w:highlight w:val="none"/>
          <w:lang w:val="en-US" w:eastAsia="zh-CN" w:bidi="ar-SA"/>
        </w:rPr>
        <w:t>5</w:t>
      </w:r>
      <w:r>
        <w:rPr>
          <w:rFonts w:hint="default" w:ascii="Times New Roman" w:hAnsi="Times New Roman" w:eastAsia="仿宋_GB2312" w:cs="Times New Roman"/>
          <w:b/>
          <w:bCs w:val="0"/>
          <w:i w:val="0"/>
          <w:caps w:val="0"/>
          <w:color w:val="auto"/>
          <w:spacing w:val="0"/>
          <w:kern w:val="2"/>
          <w:sz w:val="32"/>
          <w:szCs w:val="32"/>
          <w:highlight w:val="none"/>
          <w:lang w:val="en-US" w:eastAsia="zh-CN" w:bidi="ar-SA"/>
        </w:rPr>
        <w:t>.提高多污染物排放源监管能力。</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2" w:firstLineChars="200"/>
        <w:textAlignment w:val="auto"/>
        <w:rPr>
          <w:rFonts w:hint="default" w:ascii="楷体_GB2312" w:hAnsi="楷体_GB2312" w:eastAsia="楷体_GB2312" w:cs="楷体_GB2312"/>
          <w:b w:val="0"/>
          <w:bCs/>
          <w:i w:val="0"/>
          <w:caps w:val="0"/>
          <w:color w:val="auto"/>
          <w:spacing w:val="0"/>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加强污染源监测监控。</w:t>
      </w:r>
      <w:r>
        <w:rPr>
          <w:rFonts w:hint="default" w:ascii="Times New Roman" w:hAnsi="Times New Roman" w:eastAsia="仿宋_GB2312" w:cs="Times New Roman"/>
          <w:color w:val="auto"/>
          <w:sz w:val="32"/>
          <w:szCs w:val="32"/>
          <w:highlight w:val="none"/>
          <w:lang w:val="en-US" w:eastAsia="zh-CN"/>
        </w:rPr>
        <w:t>认真对照《环境监管重点单位名录管理办法》并结合本地实际，梳理更新涉气重点行业企业纳入大气环境重点排污单位名录，确保符合条件的企业全覆盖，</w:t>
      </w:r>
      <w:r>
        <w:rPr>
          <w:rFonts w:hint="eastAsia" w:ascii="Times New Roman" w:hAnsi="Times New Roman" w:eastAsia="仿宋_GB2312" w:cs="Times New Roman"/>
          <w:color w:val="auto"/>
          <w:sz w:val="32"/>
          <w:szCs w:val="32"/>
          <w:highlight w:val="none"/>
          <w:lang w:val="en-US" w:eastAsia="zh-CN"/>
        </w:rPr>
        <w:t>指导推动</w:t>
      </w:r>
      <w:r>
        <w:rPr>
          <w:rFonts w:hint="default" w:ascii="Times New Roman" w:hAnsi="Times New Roman" w:eastAsia="仿宋_GB2312" w:cs="Times New Roman"/>
          <w:color w:val="auto"/>
          <w:sz w:val="32"/>
          <w:szCs w:val="32"/>
          <w:highlight w:val="none"/>
          <w:lang w:val="en-US" w:eastAsia="zh-CN"/>
        </w:rPr>
        <w:t>相关单位依法安装使用大气污染物排放自动监测设备并与生态环境部门联网；对不具备实施污染物浓度自动监测条件的，指导其安装能间接反映排放状况的工况监控、用电（用能）监控、视频监控等。对排污单位自行监测和社会化检测机构承担的执法监测开展监督抽查，严厉打击自动监测数据弄虚作假以及出具虚假检测、对比报告等行为，依法公开一批人为干预、篡改、伪造监测数据的机构、单位和人员名单，推进污染源监控数据归真，切实发挥监控监管作用。</w:t>
      </w:r>
      <w:r>
        <w:rPr>
          <w:rFonts w:hint="default" w:ascii="楷体_GB2312" w:hAnsi="楷体_GB2312" w:eastAsia="楷体_GB2312" w:cs="楷体_GB2312"/>
          <w:b w:val="0"/>
          <w:bCs/>
          <w:i w:val="0"/>
          <w:caps w:val="0"/>
          <w:color w:val="auto"/>
          <w:spacing w:val="0"/>
          <w:sz w:val="32"/>
          <w:szCs w:val="32"/>
          <w:highlight w:val="none"/>
          <w:lang w:val="en-US" w:eastAsia="zh-CN"/>
        </w:rPr>
        <w:t>（牵头单位：市生态环境局。责任单位：各县、区人民政府，</w:t>
      </w:r>
      <w:r>
        <w:rPr>
          <w:rFonts w:hint="eastAsia" w:ascii="楷体_GB2312" w:hAnsi="楷体_GB2312" w:eastAsia="楷体_GB2312" w:cs="楷体_GB2312"/>
          <w:b w:val="0"/>
          <w:bCs/>
          <w:i w:val="0"/>
          <w:caps w:val="0"/>
          <w:color w:val="auto"/>
          <w:spacing w:val="0"/>
          <w:sz w:val="32"/>
          <w:szCs w:val="32"/>
          <w:highlight w:val="none"/>
          <w:lang w:val="en-US" w:eastAsia="zh-CN"/>
        </w:rPr>
        <w:t>新区管委会</w:t>
      </w:r>
      <w:r>
        <w:rPr>
          <w:rFonts w:hint="default" w:ascii="楷体_GB2312" w:hAnsi="楷体_GB2312" w:eastAsia="楷体_GB2312" w:cs="楷体_GB2312"/>
          <w:b w:val="0"/>
          <w:bCs/>
          <w:i w:val="0"/>
          <w:caps w:val="0"/>
          <w:color w:val="auto"/>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2" w:firstLineChars="200"/>
        <w:textAlignment w:val="auto"/>
        <w:rPr>
          <w:rFonts w:hint="default" w:ascii="楷体_GB2312" w:hAnsi="楷体_GB2312" w:eastAsia="楷体_GB2312" w:cs="楷体_GB2312"/>
          <w:b w:val="0"/>
          <w:bCs/>
          <w:i w:val="0"/>
          <w:caps w:val="0"/>
          <w:color w:val="auto"/>
          <w:spacing w:val="0"/>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加强污染源监管执法能力建设。</w:t>
      </w:r>
      <w:r>
        <w:rPr>
          <w:rFonts w:hint="default" w:ascii="Times New Roman" w:hAnsi="Times New Roman" w:eastAsia="仿宋_GB2312" w:cs="Times New Roman"/>
          <w:color w:val="auto"/>
          <w:sz w:val="32"/>
          <w:szCs w:val="32"/>
          <w:highlight w:val="none"/>
          <w:lang w:val="en-US" w:eastAsia="zh-CN"/>
        </w:rPr>
        <w:t>根据大气环境管理和执法监管需求，加快配备红外热成像仪、便携式氢火焰离子检测仪、手持式光离子化检测仪等装备。2024年12月底前，依托中央大气污染防治能力建设项目资金，完成红外热成像气体泄漏检测仪、便携式油烟检测仪、油气回收三项检测仪等大气环境执法监管设备的采购</w:t>
      </w:r>
      <w:r>
        <w:rPr>
          <w:rFonts w:hint="eastAsia" w:ascii="Times New Roman" w:hAnsi="Times New Roman" w:eastAsia="仿宋_GB2312" w:cs="Times New Roman"/>
          <w:color w:val="auto"/>
          <w:sz w:val="32"/>
          <w:szCs w:val="32"/>
          <w:highlight w:val="none"/>
          <w:lang w:val="en-US" w:eastAsia="zh-CN"/>
        </w:rPr>
        <w:t>。</w:t>
      </w:r>
      <w:r>
        <w:rPr>
          <w:rFonts w:hint="default" w:ascii="楷体_GB2312" w:hAnsi="楷体_GB2312" w:eastAsia="楷体_GB2312" w:cs="楷体_GB2312"/>
          <w:b w:val="0"/>
          <w:bCs/>
          <w:i w:val="0"/>
          <w:caps w:val="0"/>
          <w:color w:val="auto"/>
          <w:spacing w:val="0"/>
          <w:sz w:val="32"/>
          <w:szCs w:val="32"/>
          <w:highlight w:val="none"/>
          <w:lang w:val="en-US" w:eastAsia="zh-CN"/>
        </w:rPr>
        <w:t>（牵头单位：市生态环境局。责任单位：各县、区人民政府，</w:t>
      </w:r>
      <w:r>
        <w:rPr>
          <w:rFonts w:hint="eastAsia" w:ascii="楷体_GB2312" w:hAnsi="楷体_GB2312" w:eastAsia="楷体_GB2312" w:cs="楷体_GB2312"/>
          <w:b w:val="0"/>
          <w:bCs/>
          <w:i w:val="0"/>
          <w:caps w:val="0"/>
          <w:color w:val="auto"/>
          <w:spacing w:val="0"/>
          <w:sz w:val="32"/>
          <w:szCs w:val="32"/>
          <w:highlight w:val="none"/>
          <w:lang w:val="en-US" w:eastAsia="zh-CN"/>
        </w:rPr>
        <w:t>新区管委会</w:t>
      </w:r>
      <w:r>
        <w:rPr>
          <w:rFonts w:hint="default" w:ascii="楷体_GB2312" w:hAnsi="楷体_GB2312" w:eastAsia="楷体_GB2312" w:cs="楷体_GB2312"/>
          <w:b w:val="0"/>
          <w:bCs/>
          <w:i w:val="0"/>
          <w:caps w:val="0"/>
          <w:color w:val="auto"/>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line="560" w:lineRule="exact"/>
        <w:ind w:firstLine="642" w:firstLineChars="200"/>
        <w:textAlignment w:val="auto"/>
        <w:rPr>
          <w:rFonts w:hint="default" w:ascii="楷体_GB2312" w:hAnsi="楷体_GB2312" w:eastAsia="楷体_GB2312" w:cs="楷体_GB2312"/>
          <w:b w:val="0"/>
          <w:bCs/>
          <w:i w:val="0"/>
          <w:caps w:val="0"/>
          <w:color w:val="auto"/>
          <w:spacing w:val="0"/>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稳步推进大气氨污染防控。</w:t>
      </w:r>
      <w:r>
        <w:rPr>
          <w:rFonts w:hint="default" w:ascii="Times New Roman" w:hAnsi="Times New Roman" w:eastAsia="仿宋_GB2312" w:cs="Times New Roman"/>
          <w:color w:val="auto"/>
          <w:sz w:val="32"/>
          <w:szCs w:val="32"/>
          <w:highlight w:val="none"/>
          <w:lang w:val="en-US" w:eastAsia="zh-CN"/>
        </w:rPr>
        <w:t>启动农业面源氨（NH</w:t>
      </w:r>
      <w:r>
        <w:rPr>
          <w:rFonts w:hint="default" w:ascii="Times New Roman" w:hAnsi="Times New Roman" w:eastAsia="仿宋_GB2312" w:cs="Times New Roman"/>
          <w:color w:val="auto"/>
          <w:sz w:val="32"/>
          <w:szCs w:val="32"/>
          <w:highlight w:val="none"/>
          <w:vertAlign w:val="subscript"/>
          <w:lang w:val="en-US" w:eastAsia="zh-CN"/>
        </w:rPr>
        <w:t>3</w:t>
      </w:r>
      <w:r>
        <w:rPr>
          <w:rFonts w:hint="default" w:ascii="Times New Roman" w:hAnsi="Times New Roman" w:eastAsia="仿宋_GB2312" w:cs="Times New Roman"/>
          <w:color w:val="auto"/>
          <w:sz w:val="32"/>
          <w:szCs w:val="32"/>
          <w:highlight w:val="none"/>
          <w:lang w:val="en-US" w:eastAsia="zh-CN"/>
        </w:rPr>
        <w:t>）排放摸底调查。积极推进测土配方，推广肥料机械深施和低蛋白日粮技术。鼓励生猪、鸡等圈舍封闭管理，支持粪污输送、存储及处理设施封闭，加强废气收集和处理，加强氮肥、纯碱等行业大气氨排放治理；强化工业源烟气脱硫脱硝氨逃逸防控。（</w:t>
      </w:r>
      <w:r>
        <w:rPr>
          <w:rFonts w:hint="default" w:ascii="楷体_GB2312" w:hAnsi="楷体_GB2312" w:eastAsia="楷体_GB2312" w:cs="楷体_GB2312"/>
          <w:b w:val="0"/>
          <w:bCs/>
          <w:i w:val="0"/>
          <w:caps w:val="0"/>
          <w:color w:val="auto"/>
          <w:spacing w:val="0"/>
          <w:sz w:val="32"/>
          <w:szCs w:val="32"/>
          <w:highlight w:val="none"/>
          <w:lang w:val="en-US" w:eastAsia="zh-CN"/>
        </w:rPr>
        <w:t>牵头单位：</w:t>
      </w:r>
      <w:r>
        <w:rPr>
          <w:rFonts w:hint="eastAsia" w:ascii="楷体_GB2312" w:hAnsi="楷体_GB2312" w:eastAsia="楷体_GB2312" w:cs="楷体_GB2312"/>
          <w:b w:val="0"/>
          <w:bCs/>
          <w:i w:val="0"/>
          <w:caps w:val="0"/>
          <w:color w:val="auto"/>
          <w:spacing w:val="0"/>
          <w:sz w:val="32"/>
          <w:szCs w:val="32"/>
          <w:highlight w:val="none"/>
          <w:lang w:val="en-US" w:eastAsia="zh-CN"/>
        </w:rPr>
        <w:t>市</w:t>
      </w:r>
      <w:r>
        <w:rPr>
          <w:rFonts w:hint="default" w:ascii="楷体_GB2312" w:hAnsi="楷体_GB2312" w:eastAsia="楷体_GB2312" w:cs="楷体_GB2312"/>
          <w:b w:val="0"/>
          <w:bCs/>
          <w:i w:val="0"/>
          <w:caps w:val="0"/>
          <w:color w:val="auto"/>
          <w:spacing w:val="0"/>
          <w:sz w:val="32"/>
          <w:szCs w:val="32"/>
          <w:highlight w:val="none"/>
          <w:lang w:val="en-US" w:eastAsia="zh-CN"/>
        </w:rPr>
        <w:t>生态环境</w:t>
      </w:r>
      <w:r>
        <w:rPr>
          <w:rFonts w:hint="eastAsia" w:ascii="楷体_GB2312" w:hAnsi="楷体_GB2312" w:eastAsia="楷体_GB2312" w:cs="楷体_GB2312"/>
          <w:b w:val="0"/>
          <w:bCs/>
          <w:i w:val="0"/>
          <w:caps w:val="0"/>
          <w:color w:val="auto"/>
          <w:spacing w:val="0"/>
          <w:sz w:val="32"/>
          <w:szCs w:val="32"/>
          <w:highlight w:val="none"/>
          <w:lang w:val="en-US" w:eastAsia="zh-CN"/>
        </w:rPr>
        <w:t>局</w:t>
      </w:r>
      <w:r>
        <w:rPr>
          <w:rFonts w:hint="default" w:ascii="楷体_GB2312" w:hAnsi="楷体_GB2312" w:eastAsia="楷体_GB2312" w:cs="楷体_GB2312"/>
          <w:b w:val="0"/>
          <w:bCs/>
          <w:i w:val="0"/>
          <w:caps w:val="0"/>
          <w:color w:val="auto"/>
          <w:spacing w:val="0"/>
          <w:sz w:val="32"/>
          <w:szCs w:val="32"/>
          <w:highlight w:val="none"/>
          <w:lang w:val="en-US" w:eastAsia="zh-CN"/>
        </w:rPr>
        <w:t>、</w:t>
      </w:r>
      <w:r>
        <w:rPr>
          <w:rFonts w:hint="eastAsia" w:ascii="楷体_GB2312" w:hAnsi="楷体_GB2312" w:eastAsia="楷体_GB2312" w:cs="楷体_GB2312"/>
          <w:b w:val="0"/>
          <w:bCs/>
          <w:i w:val="0"/>
          <w:caps w:val="0"/>
          <w:color w:val="auto"/>
          <w:spacing w:val="0"/>
          <w:sz w:val="32"/>
          <w:szCs w:val="32"/>
          <w:highlight w:val="none"/>
          <w:lang w:val="en-US" w:eastAsia="zh-CN"/>
        </w:rPr>
        <w:t>市</w:t>
      </w:r>
      <w:r>
        <w:rPr>
          <w:rFonts w:hint="default" w:ascii="楷体_GB2312" w:hAnsi="楷体_GB2312" w:eastAsia="楷体_GB2312" w:cs="楷体_GB2312"/>
          <w:b w:val="0"/>
          <w:bCs/>
          <w:i w:val="0"/>
          <w:caps w:val="0"/>
          <w:color w:val="auto"/>
          <w:spacing w:val="0"/>
          <w:sz w:val="32"/>
          <w:szCs w:val="32"/>
          <w:highlight w:val="none"/>
          <w:lang w:val="en-US" w:eastAsia="zh-CN"/>
        </w:rPr>
        <w:t>农业农村</w:t>
      </w:r>
      <w:r>
        <w:rPr>
          <w:rFonts w:hint="eastAsia" w:ascii="楷体_GB2312" w:hAnsi="楷体_GB2312" w:eastAsia="楷体_GB2312" w:cs="楷体_GB2312"/>
          <w:b w:val="0"/>
          <w:bCs/>
          <w:i w:val="0"/>
          <w:caps w:val="0"/>
          <w:color w:val="auto"/>
          <w:spacing w:val="0"/>
          <w:sz w:val="32"/>
          <w:szCs w:val="32"/>
          <w:highlight w:val="none"/>
          <w:lang w:val="en-US" w:eastAsia="zh-CN"/>
        </w:rPr>
        <w:t>局</w:t>
      </w:r>
      <w:r>
        <w:rPr>
          <w:rFonts w:hint="default" w:ascii="楷体_GB2312" w:hAnsi="楷体_GB2312" w:eastAsia="楷体_GB2312" w:cs="楷体_GB2312"/>
          <w:b w:val="0"/>
          <w:bCs/>
          <w:i w:val="0"/>
          <w:caps w:val="0"/>
          <w:color w:val="auto"/>
          <w:spacing w:val="0"/>
          <w:sz w:val="32"/>
          <w:szCs w:val="32"/>
          <w:highlight w:val="none"/>
          <w:lang w:val="en-US" w:eastAsia="zh-CN"/>
        </w:rPr>
        <w:t>。配合单位：</w:t>
      </w:r>
      <w:r>
        <w:rPr>
          <w:rFonts w:hint="eastAsia" w:ascii="楷体_GB2312" w:hAnsi="楷体_GB2312" w:eastAsia="楷体_GB2312" w:cs="楷体_GB2312"/>
          <w:b w:val="0"/>
          <w:bCs/>
          <w:i w:val="0"/>
          <w:caps w:val="0"/>
          <w:color w:val="auto"/>
          <w:spacing w:val="0"/>
          <w:sz w:val="32"/>
          <w:szCs w:val="32"/>
          <w:highlight w:val="none"/>
          <w:lang w:val="en-US" w:eastAsia="zh-CN"/>
        </w:rPr>
        <w:t>市</w:t>
      </w:r>
      <w:r>
        <w:rPr>
          <w:rFonts w:hint="default" w:ascii="楷体_GB2312" w:hAnsi="楷体_GB2312" w:eastAsia="楷体_GB2312" w:cs="楷体_GB2312"/>
          <w:b w:val="0"/>
          <w:bCs/>
          <w:i w:val="0"/>
          <w:caps w:val="0"/>
          <w:color w:val="auto"/>
          <w:spacing w:val="0"/>
          <w:sz w:val="32"/>
          <w:szCs w:val="32"/>
          <w:highlight w:val="none"/>
          <w:lang w:val="en-US" w:eastAsia="zh-CN"/>
        </w:rPr>
        <w:t>市场监管局。责任单位：各县、区人民政府，</w:t>
      </w:r>
      <w:r>
        <w:rPr>
          <w:rFonts w:hint="eastAsia" w:ascii="楷体_GB2312" w:hAnsi="楷体_GB2312" w:eastAsia="楷体_GB2312" w:cs="楷体_GB2312"/>
          <w:b w:val="0"/>
          <w:bCs/>
          <w:i w:val="0"/>
          <w:caps w:val="0"/>
          <w:color w:val="auto"/>
          <w:spacing w:val="0"/>
          <w:sz w:val="32"/>
          <w:szCs w:val="32"/>
          <w:highlight w:val="none"/>
          <w:lang w:val="en-US" w:eastAsia="zh-CN"/>
        </w:rPr>
        <w:t>新区管委会</w:t>
      </w:r>
      <w:r>
        <w:rPr>
          <w:rFonts w:hint="default" w:ascii="楷体_GB2312" w:hAnsi="楷体_GB2312" w:eastAsia="楷体_GB2312" w:cs="楷体_GB2312"/>
          <w:b w:val="0"/>
          <w:bCs/>
          <w:i w:val="0"/>
          <w:caps w:val="0"/>
          <w:color w:val="auto"/>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i w:val="0"/>
          <w:caps w:val="0"/>
          <w:color w:val="auto"/>
          <w:spacing w:val="0"/>
          <w:sz w:val="32"/>
          <w:szCs w:val="32"/>
          <w:highlight w:val="none"/>
        </w:rPr>
      </w:pPr>
      <w:r>
        <w:rPr>
          <w:rFonts w:hint="default" w:ascii="楷体_GB2312" w:hAnsi="楷体_GB2312" w:eastAsia="楷体_GB2312" w:cs="楷体_GB2312"/>
          <w:b w:val="0"/>
          <w:bCs/>
          <w:i w:val="0"/>
          <w:caps w:val="0"/>
          <w:color w:val="auto"/>
          <w:spacing w:val="0"/>
          <w:sz w:val="32"/>
          <w:szCs w:val="32"/>
          <w:highlight w:val="none"/>
        </w:rPr>
        <w:t>（</w:t>
      </w:r>
      <w:r>
        <w:rPr>
          <w:rFonts w:hint="default" w:ascii="楷体_GB2312" w:hAnsi="楷体_GB2312" w:eastAsia="楷体_GB2312" w:cs="楷体_GB2312"/>
          <w:b w:val="0"/>
          <w:bCs/>
          <w:i w:val="0"/>
          <w:caps w:val="0"/>
          <w:color w:val="auto"/>
          <w:spacing w:val="0"/>
          <w:sz w:val="32"/>
          <w:szCs w:val="32"/>
          <w:highlight w:val="none"/>
          <w:lang w:eastAsia="zh-CN"/>
        </w:rPr>
        <w:t>三</w:t>
      </w:r>
      <w:r>
        <w:rPr>
          <w:rFonts w:hint="default" w:ascii="楷体_GB2312" w:hAnsi="楷体_GB2312" w:eastAsia="楷体_GB2312" w:cs="楷体_GB2312"/>
          <w:b w:val="0"/>
          <w:bCs/>
          <w:i w:val="0"/>
          <w:caps w:val="0"/>
          <w:color w:val="auto"/>
          <w:spacing w:val="0"/>
          <w:sz w:val="32"/>
          <w:szCs w:val="32"/>
          <w:highlight w:val="none"/>
        </w:rPr>
        <w:t>）</w:t>
      </w:r>
      <w:r>
        <w:rPr>
          <w:rFonts w:hint="default" w:ascii="楷体_GB2312" w:hAnsi="楷体_GB2312" w:eastAsia="楷体_GB2312" w:cs="楷体_GB2312"/>
          <w:b w:val="0"/>
          <w:bCs/>
          <w:i w:val="0"/>
          <w:caps w:val="0"/>
          <w:color w:val="auto"/>
          <w:spacing w:val="0"/>
          <w:sz w:val="32"/>
          <w:szCs w:val="32"/>
          <w:highlight w:val="none"/>
          <w:lang w:eastAsia="zh-CN"/>
        </w:rPr>
        <w:t>深化实施</w:t>
      </w:r>
      <w:r>
        <w:rPr>
          <w:rFonts w:hint="default" w:ascii="楷体_GB2312" w:hAnsi="楷体_GB2312" w:eastAsia="楷体_GB2312" w:cs="楷体_GB2312"/>
          <w:b w:val="0"/>
          <w:bCs/>
          <w:i w:val="0"/>
          <w:caps w:val="0"/>
          <w:color w:val="auto"/>
          <w:spacing w:val="0"/>
          <w:sz w:val="32"/>
          <w:szCs w:val="32"/>
          <w:highlight w:val="none"/>
        </w:rPr>
        <w:t>移动</w:t>
      </w:r>
      <w:r>
        <w:rPr>
          <w:rFonts w:hint="default" w:ascii="楷体_GB2312" w:hAnsi="楷体_GB2312" w:eastAsia="楷体_GB2312" w:cs="楷体_GB2312"/>
          <w:b w:val="0"/>
          <w:bCs/>
          <w:i w:val="0"/>
          <w:caps w:val="0"/>
          <w:color w:val="auto"/>
          <w:spacing w:val="0"/>
          <w:sz w:val="32"/>
          <w:szCs w:val="32"/>
          <w:highlight w:val="none"/>
          <w:lang w:eastAsia="zh-CN"/>
        </w:rPr>
        <w:t>污染源</w:t>
      </w:r>
      <w:r>
        <w:rPr>
          <w:rFonts w:hint="default" w:ascii="楷体_GB2312" w:hAnsi="楷体_GB2312" w:eastAsia="楷体_GB2312" w:cs="楷体_GB2312"/>
          <w:b w:val="0"/>
          <w:bCs/>
          <w:i w:val="0"/>
          <w:caps w:val="0"/>
          <w:color w:val="auto"/>
          <w:spacing w:val="0"/>
          <w:sz w:val="32"/>
          <w:szCs w:val="32"/>
          <w:highlight w:val="none"/>
        </w:rPr>
        <w:t>防控</w:t>
      </w:r>
    </w:p>
    <w:p>
      <w:pPr>
        <w:keepNext w:val="0"/>
        <w:keepLines w:val="0"/>
        <w:pageBreakBefore w:val="0"/>
        <w:kinsoku/>
        <w:wordWrap/>
        <w:topLinePunct w:val="0"/>
        <w:autoSpaceDE/>
        <w:autoSpaceDN/>
        <w:bidi w:val="0"/>
        <w:snapToGrid/>
        <w:spacing w:line="580" w:lineRule="exact"/>
        <w:ind w:firstLine="642" w:firstLineChars="200"/>
        <w:textAlignment w:val="auto"/>
        <w:rPr>
          <w:rFonts w:hint="default" w:ascii="楷体_GB2312" w:hAnsi="楷体_GB2312" w:eastAsia="楷体_GB2312" w:cs="楷体_GB2312"/>
          <w:b w:val="0"/>
          <w:bCs/>
          <w:i w:val="0"/>
          <w:caps w:val="0"/>
          <w:color w:val="auto"/>
          <w:spacing w:val="0"/>
          <w:sz w:val="32"/>
          <w:szCs w:val="32"/>
          <w:highlight w:val="none"/>
          <w:lang w:val="en-US" w:eastAsia="zh-CN"/>
        </w:rPr>
      </w:pPr>
      <w:r>
        <w:rPr>
          <w:rFonts w:hint="default" w:ascii="Times New Roman" w:hAnsi="Times New Roman" w:eastAsia="仿宋_GB2312" w:cs="Times New Roman"/>
          <w:b/>
          <w:bCs w:val="0"/>
          <w:i w:val="0"/>
          <w:caps w:val="0"/>
          <w:color w:val="auto"/>
          <w:spacing w:val="0"/>
          <w:sz w:val="32"/>
          <w:szCs w:val="32"/>
          <w:highlight w:val="none"/>
          <w:lang w:val="en-US" w:eastAsia="zh-CN"/>
        </w:rPr>
        <w:t>1.持续优化调整货物运输结构。</w:t>
      </w:r>
      <w:r>
        <w:rPr>
          <w:rFonts w:hint="default" w:ascii="Times New Roman" w:hAnsi="Times New Roman" w:eastAsia="仿宋_GB2312" w:cs="Times New Roman"/>
          <w:b w:val="0"/>
          <w:bCs/>
          <w:i w:val="0"/>
          <w:caps w:val="0"/>
          <w:color w:val="auto"/>
          <w:spacing w:val="0"/>
          <w:sz w:val="32"/>
          <w:szCs w:val="32"/>
          <w:highlight w:val="none"/>
          <w:lang w:val="en-US" w:eastAsia="zh-CN"/>
        </w:rPr>
        <w:t>大宗货物中长距离运输优先采用铁路、水路运输，短距离运输优先采用封闭式皮带廊道或新能源车船。严格落实《推进多式联运高质量发展优化调整运输结构实施方案（2022—2025年）》，加快建设多式联运骨干通道，提升大宗货物运输绿色化水平，加快煤炭、矿石、粮食、钢材、建材等大宗货物中长距离运输“公转铁、公转水”步伐。</w:t>
      </w:r>
      <w:r>
        <w:rPr>
          <w:rFonts w:hint="eastAsia" w:ascii="Times New Roman" w:hAnsi="Times New Roman" w:eastAsia="仿宋_GB2312" w:cs="Times New Roman"/>
          <w:b w:val="0"/>
          <w:bCs/>
          <w:i w:val="0"/>
          <w:caps w:val="0"/>
          <w:color w:val="auto"/>
          <w:spacing w:val="0"/>
          <w:sz w:val="32"/>
          <w:szCs w:val="32"/>
          <w:highlight w:val="none"/>
          <w:lang w:val="en-US" w:eastAsia="zh-CN"/>
        </w:rPr>
        <w:t>指导推动</w:t>
      </w:r>
      <w:r>
        <w:rPr>
          <w:rFonts w:hint="default" w:ascii="Times New Roman" w:hAnsi="Times New Roman" w:eastAsia="仿宋_GB2312" w:cs="Times New Roman"/>
          <w:b w:val="0"/>
          <w:bCs/>
          <w:i w:val="0"/>
          <w:caps w:val="0"/>
          <w:color w:val="auto"/>
          <w:spacing w:val="0"/>
          <w:sz w:val="32"/>
          <w:szCs w:val="32"/>
          <w:highlight w:val="none"/>
          <w:lang w:val="en-US" w:eastAsia="zh-CN"/>
        </w:rPr>
        <w:t>新建及迁建大宗货物年运量150万吨以上的物流园区、工矿企业和储煤基地，原则上要接入铁路专用线或管道。充分挖掘城市铁路站场和线路资源，创新“外集内配”等生产生活物资公铁联运模式。强化用地用海、验收投运、运力调配、铁路运价等措施保障。到2024年底，全市水路货运量比2020年增加14%左右，配合自治区完成铁路货运量增长相关工作。</w:t>
      </w:r>
      <w:r>
        <w:rPr>
          <w:rFonts w:hint="default" w:ascii="楷体" w:hAnsi="楷体" w:eastAsia="楷体" w:cs="楷体"/>
          <w:color w:val="auto"/>
          <w:sz w:val="32"/>
          <w:szCs w:val="32"/>
          <w:highlight w:val="none"/>
          <w:lang w:val="en-US" w:eastAsia="zh-CN"/>
        </w:rPr>
        <w:t>（</w:t>
      </w:r>
      <w:r>
        <w:rPr>
          <w:rFonts w:hint="default" w:ascii="楷体_GB2312" w:hAnsi="楷体_GB2312" w:eastAsia="楷体_GB2312" w:cs="楷体_GB2312"/>
          <w:b w:val="0"/>
          <w:bCs/>
          <w:i w:val="0"/>
          <w:caps w:val="0"/>
          <w:color w:val="auto"/>
          <w:spacing w:val="0"/>
          <w:sz w:val="32"/>
          <w:szCs w:val="32"/>
          <w:highlight w:val="none"/>
          <w:lang w:val="en-US" w:eastAsia="zh-CN"/>
        </w:rPr>
        <w:t>牵头单位：市交通运输局。责任单位：市重点办、柳州铁路、市生态环境局、</w:t>
      </w:r>
      <w:r>
        <w:rPr>
          <w:rFonts w:hint="eastAsia" w:ascii="楷体_GB2312" w:hAnsi="楷体_GB2312" w:eastAsia="楷体_GB2312" w:cs="楷体_GB2312"/>
          <w:b w:val="0"/>
          <w:bCs/>
          <w:i w:val="0"/>
          <w:caps w:val="0"/>
          <w:color w:val="auto"/>
          <w:spacing w:val="0"/>
          <w:sz w:val="32"/>
          <w:szCs w:val="32"/>
          <w:highlight w:val="none"/>
          <w:lang w:val="en-US" w:eastAsia="zh-CN"/>
        </w:rPr>
        <w:t>柳州海事局、</w:t>
      </w:r>
      <w:r>
        <w:rPr>
          <w:rFonts w:hint="default" w:ascii="楷体_GB2312" w:hAnsi="楷体_GB2312" w:eastAsia="楷体_GB2312" w:cs="楷体_GB2312"/>
          <w:b w:val="0"/>
          <w:bCs/>
          <w:i w:val="0"/>
          <w:caps w:val="0"/>
          <w:color w:val="auto"/>
          <w:spacing w:val="0"/>
          <w:sz w:val="32"/>
          <w:szCs w:val="32"/>
          <w:highlight w:val="none"/>
          <w:lang w:val="en-US" w:eastAsia="zh-CN"/>
        </w:rPr>
        <w:t>市发展改革委</w:t>
      </w:r>
      <w:r>
        <w:rPr>
          <w:rFonts w:hint="eastAsia" w:ascii="楷体_GB2312" w:hAnsi="楷体_GB2312" w:eastAsia="楷体_GB2312" w:cs="楷体_GB2312"/>
          <w:b w:val="0"/>
          <w:bCs/>
          <w:i w:val="0"/>
          <w:caps w:val="0"/>
          <w:color w:val="auto"/>
          <w:spacing w:val="0"/>
          <w:sz w:val="32"/>
          <w:szCs w:val="32"/>
          <w:highlight w:val="none"/>
          <w:lang w:val="en-US" w:eastAsia="zh-CN"/>
        </w:rPr>
        <w:t>，各县、区人民政府，新区管委会</w:t>
      </w:r>
      <w:r>
        <w:rPr>
          <w:rFonts w:hint="default" w:ascii="楷体_GB2312" w:hAnsi="楷体_GB2312" w:eastAsia="楷体_GB2312" w:cs="楷体_GB2312"/>
          <w:b w:val="0"/>
          <w:bCs/>
          <w:i w:val="0"/>
          <w:caps w:val="0"/>
          <w:color w:val="auto"/>
          <w:spacing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楷体_GB2312" w:hAnsi="楷体_GB2312" w:eastAsia="楷体_GB2312" w:cs="楷体_GB2312"/>
          <w:b w:val="0"/>
          <w:bCs/>
          <w:i w:val="0"/>
          <w:caps w:val="0"/>
          <w:color w:val="auto"/>
          <w:spacing w:val="0"/>
          <w:sz w:val="32"/>
          <w:szCs w:val="32"/>
          <w:highlight w:val="none"/>
          <w:lang w:val="en-US" w:eastAsia="zh-CN"/>
        </w:rPr>
      </w:pPr>
      <w:r>
        <w:rPr>
          <w:rFonts w:hint="default" w:ascii="Times New Roman" w:hAnsi="Times New Roman" w:eastAsia="仿宋_GB2312" w:cs="Times New Roman"/>
          <w:b/>
          <w:bCs w:val="0"/>
          <w:i w:val="0"/>
          <w:caps w:val="0"/>
          <w:color w:val="auto"/>
          <w:spacing w:val="0"/>
          <w:sz w:val="32"/>
          <w:szCs w:val="32"/>
          <w:highlight w:val="none"/>
          <w:lang w:val="en-US" w:eastAsia="zh-CN"/>
        </w:rPr>
        <w:t>2.加快提升机动车清洁化水平。</w:t>
      </w:r>
      <w:r>
        <w:rPr>
          <w:rFonts w:hint="default" w:ascii="Times New Roman" w:hAnsi="Times New Roman" w:eastAsia="仿宋_GB2312" w:cs="Times New Roman"/>
          <w:b w:val="0"/>
          <w:bCs/>
          <w:i w:val="0"/>
          <w:caps w:val="0"/>
          <w:color w:val="auto"/>
          <w:spacing w:val="0"/>
          <w:sz w:val="32"/>
          <w:szCs w:val="32"/>
          <w:highlight w:val="none"/>
          <w:lang w:val="en-US" w:eastAsia="zh-CN"/>
        </w:rPr>
        <w:t>加快淘汰采用稀薄燃烧技术的燃气货车。在</w:t>
      </w:r>
      <w:r>
        <w:rPr>
          <w:rFonts w:hint="default" w:ascii="Times New Roman" w:hAnsi="Times New Roman" w:eastAsia="仿宋_GB2312" w:cs="Times New Roman"/>
          <w:b w:val="0"/>
          <w:bCs/>
          <w:i w:val="0"/>
          <w:caps w:val="0"/>
          <w:strike w:val="0"/>
          <w:dstrike w:val="0"/>
          <w:color w:val="auto"/>
          <w:spacing w:val="0"/>
          <w:sz w:val="32"/>
          <w:szCs w:val="32"/>
          <w:highlight w:val="none"/>
          <w:lang w:val="en-US" w:eastAsia="zh-CN"/>
        </w:rPr>
        <w:t>火电、</w:t>
      </w:r>
      <w:r>
        <w:rPr>
          <w:rFonts w:hint="default" w:ascii="Times New Roman" w:hAnsi="Times New Roman" w:eastAsia="仿宋_GB2312" w:cs="Times New Roman"/>
          <w:b w:val="0"/>
          <w:bCs/>
          <w:i w:val="0"/>
          <w:caps w:val="0"/>
          <w:color w:val="auto"/>
          <w:spacing w:val="0"/>
          <w:sz w:val="32"/>
          <w:szCs w:val="32"/>
          <w:highlight w:val="none"/>
          <w:lang w:val="en-US" w:eastAsia="zh-CN"/>
        </w:rPr>
        <w:t>钢铁、煤炭、焦化、有色、水泥等行业和物流园区推广新能源中重型货车，有序开展重型货车氢燃料或新能源等示范和商业化运营，发展零排放货运车队。力争到2024年底，新增及更新公交车、3吨以下叉车使用新能源比例达到90%以上，公共领域出租、城市物流配送</w:t>
      </w:r>
      <w:r>
        <w:rPr>
          <w:rFonts w:hint="default" w:ascii="Times New Roman" w:hAnsi="Times New Roman" w:eastAsia="仿宋_GB2312" w:cs="Times New Roman"/>
          <w:b w:val="0"/>
          <w:bCs/>
          <w:i w:val="0"/>
          <w:caps w:val="0"/>
          <w:strike w:val="0"/>
          <w:dstrike w:val="0"/>
          <w:color w:val="auto"/>
          <w:spacing w:val="0"/>
          <w:sz w:val="32"/>
          <w:szCs w:val="32"/>
          <w:highlight w:val="none"/>
          <w:lang w:val="en-US" w:eastAsia="zh-CN"/>
        </w:rPr>
        <w:t>、轻型环卫</w:t>
      </w:r>
      <w:r>
        <w:rPr>
          <w:rFonts w:hint="default" w:ascii="Times New Roman" w:hAnsi="Times New Roman" w:eastAsia="仿宋_GB2312" w:cs="Times New Roman"/>
          <w:b w:val="0"/>
          <w:bCs/>
          <w:i w:val="0"/>
          <w:caps w:val="0"/>
          <w:color w:val="auto"/>
          <w:spacing w:val="0"/>
          <w:sz w:val="32"/>
          <w:szCs w:val="32"/>
          <w:highlight w:val="none"/>
          <w:lang w:val="en-US" w:eastAsia="zh-CN"/>
        </w:rPr>
        <w:t>等车辆中新能源汽车比例持续提高。</w:t>
      </w:r>
      <w:r>
        <w:rPr>
          <w:rFonts w:hint="default" w:ascii="楷体_GB2312" w:hAnsi="楷体_GB2312" w:eastAsia="楷体_GB2312" w:cs="楷体_GB2312"/>
          <w:b w:val="0"/>
          <w:bCs/>
          <w:i w:val="0"/>
          <w:caps w:val="0"/>
          <w:color w:val="auto"/>
          <w:spacing w:val="0"/>
          <w:sz w:val="32"/>
          <w:szCs w:val="32"/>
          <w:highlight w:val="none"/>
          <w:lang w:val="en-US" w:eastAsia="zh-CN"/>
        </w:rPr>
        <w:t>（牵头单位：</w:t>
      </w:r>
      <w:r>
        <w:rPr>
          <w:rFonts w:hint="eastAsia" w:ascii="楷体_GB2312" w:hAnsi="楷体_GB2312" w:eastAsia="楷体_GB2312" w:cs="楷体_GB2312"/>
          <w:b w:val="0"/>
          <w:bCs/>
          <w:i w:val="0"/>
          <w:caps w:val="0"/>
          <w:color w:val="auto"/>
          <w:spacing w:val="0"/>
          <w:sz w:val="32"/>
          <w:szCs w:val="32"/>
          <w:highlight w:val="none"/>
          <w:lang w:val="en-US" w:eastAsia="zh-CN"/>
        </w:rPr>
        <w:t>市发展改革委、</w:t>
      </w:r>
      <w:r>
        <w:rPr>
          <w:rFonts w:hint="default" w:ascii="楷体_GB2312" w:hAnsi="楷体_GB2312" w:eastAsia="楷体_GB2312" w:cs="楷体_GB2312"/>
          <w:b w:val="0"/>
          <w:bCs/>
          <w:i w:val="0"/>
          <w:caps w:val="0"/>
          <w:color w:val="auto"/>
          <w:spacing w:val="0"/>
          <w:sz w:val="32"/>
          <w:szCs w:val="32"/>
          <w:highlight w:val="none"/>
          <w:lang w:val="en-US" w:eastAsia="zh-CN"/>
        </w:rPr>
        <w:t>市公安局、市交通运输局</w:t>
      </w:r>
      <w:r>
        <w:rPr>
          <w:rFonts w:hint="eastAsia" w:ascii="楷体_GB2312" w:hAnsi="楷体_GB2312" w:eastAsia="楷体_GB2312" w:cs="楷体_GB2312"/>
          <w:b w:val="0"/>
          <w:bCs/>
          <w:i w:val="0"/>
          <w:caps w:val="0"/>
          <w:color w:val="auto"/>
          <w:spacing w:val="0"/>
          <w:sz w:val="32"/>
          <w:szCs w:val="32"/>
          <w:highlight w:val="none"/>
          <w:lang w:val="en-US" w:eastAsia="zh-CN"/>
        </w:rPr>
        <w:t>；</w:t>
      </w:r>
      <w:r>
        <w:rPr>
          <w:rFonts w:hint="default" w:ascii="楷体_GB2312" w:hAnsi="楷体_GB2312" w:eastAsia="楷体_GB2312" w:cs="楷体_GB2312"/>
          <w:b w:val="0"/>
          <w:bCs/>
          <w:i w:val="0"/>
          <w:caps w:val="0"/>
          <w:color w:val="auto"/>
          <w:spacing w:val="0"/>
          <w:sz w:val="32"/>
          <w:szCs w:val="32"/>
          <w:highlight w:val="none"/>
          <w:lang w:val="en-US" w:eastAsia="zh-CN"/>
        </w:rPr>
        <w:t>责任单位：市工业和信息化局、市生态环境局、市</w:t>
      </w:r>
      <w:r>
        <w:rPr>
          <w:rFonts w:hint="eastAsia" w:ascii="楷体_GB2312" w:hAnsi="楷体_GB2312" w:eastAsia="楷体_GB2312" w:cs="楷体_GB2312"/>
          <w:b w:val="0"/>
          <w:bCs/>
          <w:i w:val="0"/>
          <w:caps w:val="0"/>
          <w:color w:val="auto"/>
          <w:spacing w:val="-6"/>
          <w:sz w:val="32"/>
          <w:szCs w:val="32"/>
          <w:highlight w:val="none"/>
          <w:lang w:val="en-US" w:eastAsia="zh-CN"/>
        </w:rPr>
        <w:t>住房城乡建设局、市城管执法局</w:t>
      </w:r>
      <w:r>
        <w:rPr>
          <w:rFonts w:hint="default" w:ascii="楷体_GB2312" w:hAnsi="楷体_GB2312" w:eastAsia="楷体_GB2312" w:cs="楷体_GB2312"/>
          <w:b w:val="0"/>
          <w:bCs/>
          <w:i w:val="0"/>
          <w:caps w:val="0"/>
          <w:color w:val="auto"/>
          <w:spacing w:val="-6"/>
          <w:sz w:val="32"/>
          <w:szCs w:val="32"/>
          <w:highlight w:val="none"/>
          <w:lang w:val="en-US" w:eastAsia="zh-CN"/>
        </w:rPr>
        <w:t>;各县、区人民政府，</w:t>
      </w:r>
      <w:r>
        <w:rPr>
          <w:rFonts w:hint="eastAsia" w:ascii="楷体_GB2312" w:hAnsi="楷体_GB2312" w:eastAsia="楷体_GB2312" w:cs="楷体_GB2312"/>
          <w:b w:val="0"/>
          <w:bCs/>
          <w:i w:val="0"/>
          <w:caps w:val="0"/>
          <w:color w:val="auto"/>
          <w:spacing w:val="-6"/>
          <w:sz w:val="32"/>
          <w:szCs w:val="32"/>
          <w:highlight w:val="none"/>
          <w:lang w:val="en-US" w:eastAsia="zh-CN"/>
        </w:rPr>
        <w:t>新区管委会</w:t>
      </w:r>
      <w:r>
        <w:rPr>
          <w:rFonts w:hint="default" w:ascii="楷体_GB2312" w:hAnsi="楷体_GB2312" w:eastAsia="楷体_GB2312" w:cs="楷体_GB2312"/>
          <w:b w:val="0"/>
          <w:bCs/>
          <w:i w:val="0"/>
          <w:caps w:val="0"/>
          <w:color w:val="auto"/>
          <w:spacing w:val="-6"/>
          <w:sz w:val="32"/>
          <w:szCs w:val="32"/>
          <w:highlight w:val="none"/>
          <w:lang w:val="en-US" w:eastAsia="zh-CN"/>
        </w:rPr>
        <w:t>）</w:t>
      </w:r>
    </w:p>
    <w:p>
      <w:pPr>
        <w:pStyle w:val="2"/>
        <w:ind w:firstLine="640" w:firstLineChars="200"/>
        <w:rPr>
          <w:rFonts w:hint="default" w:ascii="楷体_GB2312" w:hAnsi="楷体_GB2312" w:eastAsia="楷体_GB2312" w:cs="楷体_GB2312"/>
          <w:b w:val="0"/>
          <w:bCs/>
          <w:i w:val="0"/>
          <w:caps w:val="0"/>
          <w:color w:val="auto"/>
          <w:spacing w:val="0"/>
          <w:kern w:val="2"/>
          <w:sz w:val="32"/>
          <w:szCs w:val="32"/>
          <w:highlight w:val="none"/>
          <w:lang w:val="en-US" w:eastAsia="zh-CN" w:bidi="ar-SA"/>
        </w:rPr>
      </w:pPr>
      <w:r>
        <w:rPr>
          <w:rFonts w:hint="default" w:ascii="Times New Roman" w:hAnsi="Times New Roman" w:eastAsia="仿宋_GB2312" w:cs="Times New Roman"/>
          <w:b w:val="0"/>
          <w:bCs/>
          <w:i w:val="0"/>
          <w:caps w:val="0"/>
          <w:color w:val="auto"/>
          <w:spacing w:val="0"/>
          <w:kern w:val="2"/>
          <w:sz w:val="32"/>
          <w:szCs w:val="32"/>
          <w:highlight w:val="none"/>
          <w:lang w:val="en-US" w:eastAsia="zh-CN" w:bidi="ar-SA"/>
        </w:rPr>
        <w:t>加强本地新生产货车监督抽查，重点监督抽查车辆的车载诊</w:t>
      </w:r>
      <w:r>
        <w:rPr>
          <w:rFonts w:hint="default" w:ascii="Times New Roman" w:hAnsi="Times New Roman" w:eastAsia="仿宋_GB2312" w:cs="Times New Roman"/>
          <w:b w:val="0"/>
          <w:bCs/>
          <w:i w:val="0"/>
          <w:caps w:val="0"/>
          <w:color w:val="auto"/>
          <w:spacing w:val="0"/>
          <w:kern w:val="2"/>
          <w:sz w:val="32"/>
          <w:szCs w:val="32"/>
          <w:highlight w:val="none"/>
          <w:u w:val="none"/>
          <w:lang w:val="en-US" w:eastAsia="zh-CN" w:bidi="ar-SA"/>
        </w:rPr>
        <w:t>断系统（OBD）、污染控制装置、环保信息随车清单、在</w:t>
      </w:r>
      <w:r>
        <w:rPr>
          <w:rFonts w:hint="default" w:ascii="Times New Roman" w:hAnsi="Times New Roman" w:eastAsia="仿宋_GB2312" w:cs="Times New Roman"/>
          <w:b w:val="0"/>
          <w:bCs/>
          <w:i w:val="0"/>
          <w:caps w:val="0"/>
          <w:color w:val="auto"/>
          <w:spacing w:val="0"/>
          <w:kern w:val="2"/>
          <w:sz w:val="32"/>
          <w:szCs w:val="32"/>
          <w:highlight w:val="none"/>
          <w:lang w:val="en-US" w:eastAsia="zh-CN" w:bidi="ar-SA"/>
        </w:rPr>
        <w:t>线监控、尾气排放等，实现全系族覆盖。加强重型货车路检路查和入户检查，100%检验新注册柴油车，以“双随机”模式对车辆集中使用或停放场所进行抽检抽测。全面实施汽车排放检验与维护制度和机动车排放召回制度，强化对机动车检验机构的监管执法，严厉打击出具虚假检验报告等违法行为。</w:t>
      </w:r>
      <w:r>
        <w:rPr>
          <w:rFonts w:hint="default" w:ascii="楷体_GB2312" w:hAnsi="楷体_GB2312" w:eastAsia="楷体_GB2312" w:cs="楷体_GB2312"/>
          <w:b w:val="0"/>
          <w:bCs/>
          <w:i w:val="0"/>
          <w:caps w:val="0"/>
          <w:color w:val="auto"/>
          <w:spacing w:val="0"/>
          <w:kern w:val="2"/>
          <w:sz w:val="32"/>
          <w:szCs w:val="32"/>
          <w:highlight w:val="none"/>
          <w:lang w:val="en-US" w:eastAsia="zh-CN" w:bidi="ar-SA"/>
        </w:rPr>
        <w:t>（牵头单位：</w:t>
      </w:r>
      <w:r>
        <w:rPr>
          <w:rFonts w:hint="eastAsia" w:ascii="楷体_GB2312" w:hAnsi="楷体_GB2312" w:eastAsia="楷体_GB2312" w:cs="楷体_GB2312"/>
          <w:b w:val="0"/>
          <w:bCs/>
          <w:i w:val="0"/>
          <w:caps w:val="0"/>
          <w:color w:val="auto"/>
          <w:spacing w:val="0"/>
          <w:kern w:val="2"/>
          <w:sz w:val="32"/>
          <w:szCs w:val="32"/>
          <w:highlight w:val="none"/>
          <w:lang w:val="en-US" w:eastAsia="zh-CN" w:bidi="ar-SA"/>
        </w:rPr>
        <w:t>市</w:t>
      </w:r>
      <w:r>
        <w:rPr>
          <w:rFonts w:hint="default" w:ascii="楷体_GB2312" w:hAnsi="楷体_GB2312" w:eastAsia="楷体_GB2312" w:cs="楷体_GB2312"/>
          <w:b w:val="0"/>
          <w:bCs/>
          <w:i w:val="0"/>
          <w:caps w:val="0"/>
          <w:color w:val="auto"/>
          <w:spacing w:val="0"/>
          <w:kern w:val="2"/>
          <w:sz w:val="32"/>
          <w:szCs w:val="32"/>
          <w:highlight w:val="none"/>
          <w:lang w:val="en-US" w:eastAsia="zh-CN" w:bidi="ar-SA"/>
        </w:rPr>
        <w:t>生态环境</w:t>
      </w:r>
      <w:r>
        <w:rPr>
          <w:rFonts w:hint="eastAsia" w:ascii="楷体_GB2312" w:hAnsi="楷体_GB2312" w:eastAsia="楷体_GB2312" w:cs="楷体_GB2312"/>
          <w:b w:val="0"/>
          <w:bCs/>
          <w:i w:val="0"/>
          <w:caps w:val="0"/>
          <w:color w:val="auto"/>
          <w:spacing w:val="0"/>
          <w:kern w:val="2"/>
          <w:sz w:val="32"/>
          <w:szCs w:val="32"/>
          <w:highlight w:val="none"/>
          <w:lang w:val="en-US" w:eastAsia="zh-CN" w:bidi="ar-SA"/>
        </w:rPr>
        <w:t>局</w:t>
      </w:r>
      <w:r>
        <w:rPr>
          <w:rFonts w:hint="default" w:ascii="楷体_GB2312" w:hAnsi="楷体_GB2312" w:eastAsia="楷体_GB2312" w:cs="楷体_GB2312"/>
          <w:b w:val="0"/>
          <w:bCs/>
          <w:i w:val="0"/>
          <w:caps w:val="0"/>
          <w:color w:val="auto"/>
          <w:spacing w:val="0"/>
          <w:kern w:val="2"/>
          <w:sz w:val="32"/>
          <w:szCs w:val="32"/>
          <w:highlight w:val="none"/>
          <w:lang w:val="en-US" w:eastAsia="zh-CN" w:bidi="ar-SA"/>
        </w:rPr>
        <w:t>、</w:t>
      </w:r>
      <w:r>
        <w:rPr>
          <w:rFonts w:hint="eastAsia" w:ascii="楷体_GB2312" w:hAnsi="楷体_GB2312" w:eastAsia="楷体_GB2312" w:cs="楷体_GB2312"/>
          <w:b w:val="0"/>
          <w:bCs/>
          <w:i w:val="0"/>
          <w:caps w:val="0"/>
          <w:color w:val="auto"/>
          <w:spacing w:val="0"/>
          <w:kern w:val="2"/>
          <w:sz w:val="32"/>
          <w:szCs w:val="32"/>
          <w:highlight w:val="none"/>
          <w:lang w:val="en-US" w:eastAsia="zh-CN" w:bidi="ar-SA"/>
        </w:rPr>
        <w:t>市</w:t>
      </w:r>
      <w:r>
        <w:rPr>
          <w:rFonts w:hint="default" w:ascii="楷体_GB2312" w:hAnsi="楷体_GB2312" w:eastAsia="楷体_GB2312" w:cs="楷体_GB2312"/>
          <w:b w:val="0"/>
          <w:bCs/>
          <w:i w:val="0"/>
          <w:caps w:val="0"/>
          <w:color w:val="auto"/>
          <w:spacing w:val="0"/>
          <w:kern w:val="2"/>
          <w:sz w:val="32"/>
          <w:szCs w:val="32"/>
          <w:highlight w:val="none"/>
          <w:lang w:val="en-US" w:eastAsia="zh-CN" w:bidi="ar-SA"/>
        </w:rPr>
        <w:t>交通运输</w:t>
      </w:r>
      <w:r>
        <w:rPr>
          <w:rFonts w:hint="eastAsia" w:ascii="楷体_GB2312" w:hAnsi="楷体_GB2312" w:eastAsia="楷体_GB2312" w:cs="楷体_GB2312"/>
          <w:b w:val="0"/>
          <w:bCs/>
          <w:i w:val="0"/>
          <w:caps w:val="0"/>
          <w:color w:val="auto"/>
          <w:spacing w:val="0"/>
          <w:kern w:val="2"/>
          <w:sz w:val="32"/>
          <w:szCs w:val="32"/>
          <w:highlight w:val="none"/>
          <w:lang w:val="en-US" w:eastAsia="zh-CN" w:bidi="ar-SA"/>
        </w:rPr>
        <w:t>局</w:t>
      </w:r>
      <w:r>
        <w:rPr>
          <w:rFonts w:hint="default" w:ascii="楷体_GB2312" w:hAnsi="楷体_GB2312" w:eastAsia="楷体_GB2312" w:cs="楷体_GB2312"/>
          <w:b w:val="0"/>
          <w:bCs/>
          <w:i w:val="0"/>
          <w:caps w:val="0"/>
          <w:color w:val="auto"/>
          <w:spacing w:val="0"/>
          <w:kern w:val="2"/>
          <w:sz w:val="32"/>
          <w:szCs w:val="32"/>
          <w:highlight w:val="none"/>
          <w:lang w:val="en-US" w:eastAsia="zh-CN" w:bidi="ar-SA"/>
        </w:rPr>
        <w:t>。配合单位：</w:t>
      </w:r>
      <w:r>
        <w:rPr>
          <w:rFonts w:hint="eastAsia" w:ascii="楷体_GB2312" w:hAnsi="楷体_GB2312" w:eastAsia="楷体_GB2312" w:cs="楷体_GB2312"/>
          <w:b w:val="0"/>
          <w:bCs/>
          <w:i w:val="0"/>
          <w:caps w:val="0"/>
          <w:color w:val="auto"/>
          <w:spacing w:val="0"/>
          <w:kern w:val="2"/>
          <w:sz w:val="32"/>
          <w:szCs w:val="32"/>
          <w:highlight w:val="none"/>
          <w:lang w:val="en-US" w:eastAsia="zh-CN" w:bidi="ar-SA"/>
        </w:rPr>
        <w:t>市</w:t>
      </w:r>
      <w:r>
        <w:rPr>
          <w:rFonts w:hint="default" w:ascii="楷体_GB2312" w:hAnsi="楷体_GB2312" w:eastAsia="楷体_GB2312" w:cs="楷体_GB2312"/>
          <w:b w:val="0"/>
          <w:bCs/>
          <w:i w:val="0"/>
          <w:caps w:val="0"/>
          <w:color w:val="auto"/>
          <w:spacing w:val="0"/>
          <w:kern w:val="2"/>
          <w:sz w:val="32"/>
          <w:szCs w:val="32"/>
          <w:highlight w:val="none"/>
          <w:lang w:val="en-US" w:eastAsia="zh-CN" w:bidi="ar-SA"/>
        </w:rPr>
        <w:t>公安</w:t>
      </w:r>
      <w:r>
        <w:rPr>
          <w:rFonts w:hint="eastAsia" w:ascii="楷体_GB2312" w:hAnsi="楷体_GB2312" w:eastAsia="楷体_GB2312" w:cs="楷体_GB2312"/>
          <w:b w:val="0"/>
          <w:bCs/>
          <w:i w:val="0"/>
          <w:caps w:val="0"/>
          <w:color w:val="auto"/>
          <w:spacing w:val="0"/>
          <w:kern w:val="2"/>
          <w:sz w:val="32"/>
          <w:szCs w:val="32"/>
          <w:highlight w:val="none"/>
          <w:lang w:val="en-US" w:eastAsia="zh-CN" w:bidi="ar-SA"/>
        </w:rPr>
        <w:t>局</w:t>
      </w:r>
      <w:r>
        <w:rPr>
          <w:rFonts w:hint="default" w:ascii="楷体_GB2312" w:hAnsi="楷体_GB2312" w:eastAsia="楷体_GB2312" w:cs="楷体_GB2312"/>
          <w:b w:val="0"/>
          <w:bCs/>
          <w:i w:val="0"/>
          <w:caps w:val="0"/>
          <w:color w:val="auto"/>
          <w:spacing w:val="0"/>
          <w:kern w:val="2"/>
          <w:sz w:val="32"/>
          <w:szCs w:val="32"/>
          <w:highlight w:val="none"/>
          <w:lang w:val="en-US" w:eastAsia="zh-CN" w:bidi="ar-SA"/>
        </w:rPr>
        <w:t>、</w:t>
      </w:r>
      <w:r>
        <w:rPr>
          <w:rFonts w:hint="eastAsia" w:ascii="楷体_GB2312" w:hAnsi="楷体_GB2312" w:eastAsia="楷体_GB2312" w:cs="楷体_GB2312"/>
          <w:b w:val="0"/>
          <w:bCs/>
          <w:i w:val="0"/>
          <w:caps w:val="0"/>
          <w:color w:val="auto"/>
          <w:spacing w:val="0"/>
          <w:kern w:val="2"/>
          <w:sz w:val="32"/>
          <w:szCs w:val="32"/>
          <w:highlight w:val="none"/>
          <w:lang w:val="en-US" w:eastAsia="zh-CN" w:bidi="ar-SA"/>
        </w:rPr>
        <w:t>市</w:t>
      </w:r>
      <w:r>
        <w:rPr>
          <w:rFonts w:hint="default" w:ascii="楷体_GB2312" w:hAnsi="楷体_GB2312" w:eastAsia="楷体_GB2312" w:cs="楷体_GB2312"/>
          <w:b w:val="0"/>
          <w:bCs/>
          <w:i w:val="0"/>
          <w:caps w:val="0"/>
          <w:color w:val="auto"/>
          <w:spacing w:val="0"/>
          <w:kern w:val="2"/>
          <w:sz w:val="32"/>
          <w:szCs w:val="32"/>
          <w:highlight w:val="none"/>
          <w:lang w:val="en-US" w:eastAsia="zh-CN" w:bidi="ar-SA"/>
        </w:rPr>
        <w:t>市场监管局。责任单位：各县、区人民政府，</w:t>
      </w:r>
      <w:r>
        <w:rPr>
          <w:rFonts w:hint="eastAsia" w:ascii="楷体_GB2312" w:hAnsi="楷体_GB2312" w:eastAsia="楷体_GB2312" w:cs="楷体_GB2312"/>
          <w:b w:val="0"/>
          <w:bCs/>
          <w:i w:val="0"/>
          <w:caps w:val="0"/>
          <w:color w:val="auto"/>
          <w:spacing w:val="0"/>
          <w:kern w:val="2"/>
          <w:sz w:val="32"/>
          <w:szCs w:val="32"/>
          <w:highlight w:val="none"/>
          <w:lang w:val="en-US" w:eastAsia="zh-CN" w:bidi="ar-SA"/>
        </w:rPr>
        <w:t>新区管委会</w:t>
      </w:r>
      <w:r>
        <w:rPr>
          <w:rFonts w:hint="default" w:ascii="楷体_GB2312" w:hAnsi="楷体_GB2312" w:eastAsia="楷体_GB2312" w:cs="楷体_GB2312"/>
          <w:b w:val="0"/>
          <w:bCs/>
          <w:i w:val="0"/>
          <w:caps w:val="0"/>
          <w:color w:val="auto"/>
          <w:spacing w:val="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楷体_GB2312" w:hAnsi="楷体_GB2312" w:eastAsia="楷体_GB2312" w:cs="楷体_GB2312"/>
          <w:b w:val="0"/>
          <w:bCs/>
          <w:i w:val="0"/>
          <w:caps w:val="0"/>
          <w:color w:val="auto"/>
          <w:spacing w:val="0"/>
          <w:sz w:val="32"/>
          <w:szCs w:val="32"/>
          <w:highlight w:val="none"/>
          <w:lang w:val="en-US" w:eastAsia="zh-CN"/>
        </w:rPr>
      </w:pPr>
      <w:r>
        <w:rPr>
          <w:rFonts w:hint="eastAsia" w:ascii="Times New Roman" w:hAnsi="Times New Roman" w:eastAsia="仿宋_GB2312" w:cs="Times New Roman"/>
          <w:b/>
          <w:bCs w:val="0"/>
          <w:i w:val="0"/>
          <w:caps w:val="0"/>
          <w:color w:val="auto"/>
          <w:spacing w:val="0"/>
          <w:sz w:val="32"/>
          <w:szCs w:val="32"/>
          <w:highlight w:val="none"/>
          <w:lang w:val="en-US" w:eastAsia="zh-CN"/>
        </w:rPr>
        <w:t>3</w:t>
      </w:r>
      <w:r>
        <w:rPr>
          <w:rFonts w:hint="default" w:ascii="Times New Roman" w:hAnsi="Times New Roman" w:eastAsia="仿宋_GB2312" w:cs="Times New Roman"/>
          <w:b/>
          <w:bCs w:val="0"/>
          <w:i w:val="0"/>
          <w:caps w:val="0"/>
          <w:color w:val="auto"/>
          <w:spacing w:val="0"/>
          <w:sz w:val="32"/>
          <w:szCs w:val="32"/>
          <w:highlight w:val="none"/>
          <w:lang w:val="en-US" w:eastAsia="zh-CN"/>
        </w:rPr>
        <w:t>.强化非道路移动源综合治理。</w:t>
      </w:r>
      <w:r>
        <w:rPr>
          <w:rFonts w:hint="default" w:ascii="Times New Roman" w:hAnsi="Times New Roman" w:eastAsia="仿宋_GB2312" w:cs="Times New Roman"/>
          <w:b w:val="0"/>
          <w:bCs/>
          <w:i w:val="0"/>
          <w:caps w:val="0"/>
          <w:color w:val="auto"/>
          <w:spacing w:val="0"/>
          <w:sz w:val="32"/>
          <w:szCs w:val="32"/>
          <w:highlight w:val="none"/>
          <w:lang w:val="en-US" w:eastAsia="zh-CN"/>
        </w:rPr>
        <w:t>因地制宜加快推进铁路货场、物流园区、港口、机场、工矿企业内部作业车辆和机械新能源更新改造。推动发展新能源和清洁能源船舶，协同推进船舶受电设施和港口岸电设施改造，提高船舶靠港岸电使用率。大力推动老旧铁路机车淘汰，鼓励城市铁路站场及煤炭、钢铁、冶金等行业推广新能源铁路装备。持续开展非道路移动机械更新调查和编码登记工作，做到应登尽登，确保编码登记的工程机械数量高于已销售数量且数据误差率不超过2%。加快消除非道路移动机械、船舶及重点区域铁路机车“冒黑烟”现象，基本淘汰第一阶段及以下排放标准的非道路移动机械，加强使用年限超过15年的非道路移动机械监管，及时淘汰不达标排放的非道路移动机械。</w:t>
      </w:r>
      <w:r>
        <w:rPr>
          <w:rFonts w:hint="default" w:ascii="楷体_GB2312" w:hAnsi="楷体_GB2312" w:eastAsia="楷体_GB2312" w:cs="楷体_GB2312"/>
          <w:b w:val="0"/>
          <w:bCs/>
          <w:i w:val="0"/>
          <w:caps w:val="0"/>
          <w:color w:val="auto"/>
          <w:spacing w:val="0"/>
          <w:sz w:val="32"/>
          <w:szCs w:val="32"/>
          <w:highlight w:val="none"/>
          <w:lang w:val="en-US" w:eastAsia="zh-CN"/>
        </w:rPr>
        <w:t>（牵头单位：市生态环境局。责任单位：市住房城乡建设局、市交通运输局、</w:t>
      </w:r>
      <w:r>
        <w:rPr>
          <w:rFonts w:hint="eastAsia" w:ascii="楷体_GB2312" w:hAnsi="楷体_GB2312" w:eastAsia="楷体_GB2312" w:cs="楷体_GB2312"/>
          <w:b w:val="0"/>
          <w:bCs/>
          <w:i w:val="0"/>
          <w:caps w:val="0"/>
          <w:color w:val="auto"/>
          <w:spacing w:val="0"/>
          <w:sz w:val="32"/>
          <w:szCs w:val="32"/>
          <w:highlight w:val="none"/>
          <w:lang w:val="en-US" w:eastAsia="zh-CN"/>
        </w:rPr>
        <w:t>柳州机场、</w:t>
      </w:r>
      <w:r>
        <w:rPr>
          <w:rFonts w:hint="default" w:ascii="楷体_GB2312" w:hAnsi="楷体_GB2312" w:eastAsia="楷体_GB2312" w:cs="楷体_GB2312"/>
          <w:b w:val="0"/>
          <w:bCs/>
          <w:i w:val="0"/>
          <w:caps w:val="0"/>
          <w:color w:val="auto"/>
          <w:spacing w:val="0"/>
          <w:sz w:val="32"/>
          <w:szCs w:val="32"/>
          <w:highlight w:val="none"/>
          <w:lang w:val="en-US" w:eastAsia="zh-CN"/>
        </w:rPr>
        <w:t>柳州海事局；</w:t>
      </w:r>
      <w:r>
        <w:rPr>
          <w:rFonts w:hint="default" w:ascii="楷体_GB2312" w:hAnsi="楷体_GB2312" w:eastAsia="楷体_GB2312" w:cs="楷体_GB2312"/>
          <w:b w:val="0"/>
          <w:bCs/>
          <w:i w:val="0"/>
          <w:caps w:val="0"/>
          <w:color w:val="auto"/>
          <w:spacing w:val="0"/>
          <w:sz w:val="32"/>
          <w:szCs w:val="32"/>
          <w:highlight w:val="none"/>
          <w:lang w:eastAsia="zh-CN"/>
        </w:rPr>
        <w:t>各县、区人民政府，</w:t>
      </w:r>
      <w:r>
        <w:rPr>
          <w:rFonts w:hint="eastAsia" w:ascii="楷体_GB2312" w:hAnsi="楷体_GB2312" w:eastAsia="楷体_GB2312" w:cs="楷体_GB2312"/>
          <w:b w:val="0"/>
          <w:bCs/>
          <w:i w:val="0"/>
          <w:caps w:val="0"/>
          <w:color w:val="auto"/>
          <w:spacing w:val="0"/>
          <w:sz w:val="32"/>
          <w:szCs w:val="32"/>
          <w:highlight w:val="none"/>
          <w:lang w:eastAsia="zh-CN"/>
        </w:rPr>
        <w:t>新区管委会</w:t>
      </w:r>
      <w:r>
        <w:rPr>
          <w:rFonts w:hint="default" w:ascii="楷体_GB2312" w:hAnsi="楷体_GB2312" w:eastAsia="楷体_GB2312" w:cs="楷体_GB2312"/>
          <w:b w:val="0"/>
          <w:bCs/>
          <w:i w:val="0"/>
          <w:caps w:val="0"/>
          <w:color w:val="auto"/>
          <w:spacing w:val="0"/>
          <w:sz w:val="32"/>
          <w:szCs w:val="32"/>
          <w:highlight w:val="none"/>
          <w:lang w:val="en-US" w:eastAsia="zh-CN"/>
        </w:rPr>
        <w:t>）</w:t>
      </w:r>
    </w:p>
    <w:p>
      <w:pPr>
        <w:keepNext w:val="0"/>
        <w:keepLines w:val="0"/>
        <w:pageBreakBefore w:val="0"/>
        <w:numPr>
          <w:ilvl w:val="0"/>
          <w:numId w:val="0"/>
        </w:numPr>
        <w:kinsoku/>
        <w:wordWrap/>
        <w:topLinePunct w:val="0"/>
        <w:autoSpaceDE/>
        <w:autoSpaceDN/>
        <w:bidi w:val="0"/>
        <w:snapToGrid/>
        <w:spacing w:line="580" w:lineRule="exact"/>
        <w:ind w:firstLine="642" w:firstLineChars="200"/>
        <w:textAlignment w:val="auto"/>
        <w:rPr>
          <w:rFonts w:hint="default" w:ascii="楷体_GB2312" w:hAnsi="楷体_GB2312" w:eastAsia="楷体_GB2312" w:cs="楷体_GB2312"/>
          <w:b w:val="0"/>
          <w:bCs/>
          <w:i w:val="0"/>
          <w:caps w:val="0"/>
          <w:strike w:val="0"/>
          <w:dstrike w:val="0"/>
          <w:color w:val="auto"/>
          <w:spacing w:val="0"/>
          <w:sz w:val="32"/>
          <w:szCs w:val="32"/>
          <w:highlight w:val="none"/>
          <w:lang w:val="en-US" w:eastAsia="zh-CN"/>
        </w:rPr>
      </w:pPr>
      <w:r>
        <w:rPr>
          <w:rFonts w:hint="eastAsia" w:ascii="Times New Roman" w:hAnsi="Times New Roman" w:eastAsia="仿宋_GB2312" w:cs="Times New Roman"/>
          <w:b/>
          <w:bCs w:val="0"/>
          <w:i w:val="0"/>
          <w:caps w:val="0"/>
          <w:strike w:val="0"/>
          <w:dstrike w:val="0"/>
          <w:color w:val="auto"/>
          <w:spacing w:val="0"/>
          <w:sz w:val="32"/>
          <w:szCs w:val="32"/>
          <w:highlight w:val="none"/>
          <w:lang w:val="en-US" w:eastAsia="zh-CN"/>
        </w:rPr>
        <w:t>4</w:t>
      </w:r>
      <w:r>
        <w:rPr>
          <w:rFonts w:hint="default" w:ascii="Times New Roman" w:hAnsi="Times New Roman" w:eastAsia="仿宋_GB2312" w:cs="Times New Roman"/>
          <w:b/>
          <w:bCs w:val="0"/>
          <w:i w:val="0"/>
          <w:caps w:val="0"/>
          <w:strike w:val="0"/>
          <w:dstrike w:val="0"/>
          <w:color w:val="auto"/>
          <w:spacing w:val="0"/>
          <w:sz w:val="32"/>
          <w:szCs w:val="32"/>
          <w:highlight w:val="none"/>
          <w:lang w:val="en-US" w:eastAsia="zh-CN"/>
        </w:rPr>
        <w:t>.推进油品综合管控。</w:t>
      </w:r>
      <w:r>
        <w:rPr>
          <w:rFonts w:hint="default" w:ascii="Times New Roman" w:hAnsi="Times New Roman" w:eastAsia="仿宋_GB2312" w:cs="Times New Roman"/>
          <w:b w:val="0"/>
          <w:bCs/>
          <w:i w:val="0"/>
          <w:caps w:val="0"/>
          <w:strike w:val="0"/>
          <w:dstrike w:val="0"/>
          <w:color w:val="auto"/>
          <w:spacing w:val="0"/>
          <w:sz w:val="32"/>
          <w:szCs w:val="32"/>
          <w:highlight w:val="none"/>
          <w:lang w:val="en-US" w:eastAsia="zh-CN"/>
        </w:rPr>
        <w:t>加强油品进口、生产、仓储、销售、运输、使用全环节监管，全面清理整顿自建油罐、流动加油车（船）和黑加油站点，坚决打击将非标油品作为发动机燃料销售等行为。提升货车、非道路移动机械、船舶油箱中柴油抽测频次，对发现的线索进行溯源，严厉追究相关生产、销售、运输者主体责任。开展油品储运销环节油气回收系统专项检查工作，确保达标排放；</w:t>
      </w:r>
      <w:r>
        <w:rPr>
          <w:rFonts w:hint="eastAsia" w:ascii="Times New Roman" w:hAnsi="Times New Roman" w:eastAsia="仿宋_GB2312" w:cs="Times New Roman"/>
          <w:b w:val="0"/>
          <w:bCs/>
          <w:i w:val="0"/>
          <w:caps w:val="0"/>
          <w:strike w:val="0"/>
          <w:dstrike w:val="0"/>
          <w:color w:val="auto"/>
          <w:spacing w:val="0"/>
          <w:sz w:val="32"/>
          <w:szCs w:val="32"/>
          <w:highlight w:val="none"/>
          <w:lang w:val="en-US" w:eastAsia="zh-CN"/>
        </w:rPr>
        <w:t>指导推动</w:t>
      </w:r>
      <w:r>
        <w:rPr>
          <w:rFonts w:hint="default" w:ascii="Times New Roman" w:hAnsi="Times New Roman" w:eastAsia="仿宋_GB2312" w:cs="Times New Roman"/>
          <w:b w:val="0"/>
          <w:bCs/>
          <w:i w:val="0"/>
          <w:caps w:val="0"/>
          <w:strike w:val="0"/>
          <w:dstrike w:val="0"/>
          <w:color w:val="auto"/>
          <w:spacing w:val="0"/>
          <w:sz w:val="32"/>
          <w:szCs w:val="32"/>
          <w:highlight w:val="none"/>
          <w:lang w:val="en-US" w:eastAsia="zh-CN"/>
        </w:rPr>
        <w:t>年汽油销售量达5000吨以上以及依法被确定为重点排污单位的加油站安装在线监控系统。</w:t>
      </w:r>
      <w:r>
        <w:rPr>
          <w:rFonts w:hint="default" w:ascii="楷体_GB2312" w:hAnsi="楷体_GB2312" w:eastAsia="楷体_GB2312" w:cs="楷体_GB2312"/>
          <w:b w:val="0"/>
          <w:bCs/>
          <w:i w:val="0"/>
          <w:caps w:val="0"/>
          <w:strike w:val="0"/>
          <w:dstrike w:val="0"/>
          <w:color w:val="auto"/>
          <w:spacing w:val="0"/>
          <w:sz w:val="32"/>
          <w:szCs w:val="32"/>
          <w:highlight w:val="none"/>
          <w:lang w:val="en-US" w:eastAsia="zh-CN"/>
        </w:rPr>
        <w:t>（牵头单位：市发展改革委、市商务局、市生态环境局、市市场监管局。责任单位：市应急管理局、市公安局、市交通运输局、柳州海事局；</w:t>
      </w:r>
      <w:r>
        <w:rPr>
          <w:rFonts w:hint="default" w:ascii="楷体_GB2312" w:hAnsi="楷体_GB2312" w:eastAsia="楷体_GB2312" w:cs="楷体_GB2312"/>
          <w:b w:val="0"/>
          <w:bCs/>
          <w:i w:val="0"/>
          <w:caps w:val="0"/>
          <w:strike w:val="0"/>
          <w:dstrike w:val="0"/>
          <w:color w:val="auto"/>
          <w:spacing w:val="0"/>
          <w:sz w:val="32"/>
          <w:szCs w:val="32"/>
          <w:highlight w:val="none"/>
          <w:lang w:eastAsia="zh-CN"/>
        </w:rPr>
        <w:t>各县、区人民政府，</w:t>
      </w:r>
      <w:r>
        <w:rPr>
          <w:rFonts w:hint="eastAsia" w:ascii="楷体_GB2312" w:hAnsi="楷体_GB2312" w:eastAsia="楷体_GB2312" w:cs="楷体_GB2312"/>
          <w:b w:val="0"/>
          <w:bCs/>
          <w:i w:val="0"/>
          <w:caps w:val="0"/>
          <w:strike w:val="0"/>
          <w:dstrike w:val="0"/>
          <w:color w:val="auto"/>
          <w:spacing w:val="0"/>
          <w:sz w:val="32"/>
          <w:szCs w:val="32"/>
          <w:highlight w:val="none"/>
          <w:lang w:eastAsia="zh-CN"/>
        </w:rPr>
        <w:t>新区管委会</w:t>
      </w:r>
      <w:r>
        <w:rPr>
          <w:rFonts w:hint="default" w:ascii="楷体_GB2312" w:hAnsi="楷体_GB2312" w:eastAsia="楷体_GB2312" w:cs="楷体_GB2312"/>
          <w:b w:val="0"/>
          <w:bCs/>
          <w:i w:val="0"/>
          <w:caps w:val="0"/>
          <w:strike w:val="0"/>
          <w:dstrike w:val="0"/>
          <w:color w:val="auto"/>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b w:val="0"/>
          <w:bCs/>
          <w:i w:val="0"/>
          <w:caps w:val="0"/>
          <w:color w:val="auto"/>
          <w:spacing w:val="0"/>
          <w:sz w:val="32"/>
          <w:szCs w:val="32"/>
          <w:highlight w:val="none"/>
        </w:rPr>
      </w:pPr>
      <w:r>
        <w:rPr>
          <w:rFonts w:hint="default" w:ascii="楷体_GB2312" w:hAnsi="楷体_GB2312" w:eastAsia="楷体_GB2312" w:cs="楷体_GB2312"/>
          <w:b w:val="0"/>
          <w:bCs/>
          <w:i w:val="0"/>
          <w:caps w:val="0"/>
          <w:color w:val="auto"/>
          <w:spacing w:val="0"/>
          <w:sz w:val="32"/>
          <w:szCs w:val="32"/>
          <w:highlight w:val="none"/>
        </w:rPr>
        <w:t>（</w:t>
      </w:r>
      <w:r>
        <w:rPr>
          <w:rFonts w:hint="default" w:ascii="楷体_GB2312" w:hAnsi="楷体_GB2312" w:eastAsia="楷体_GB2312" w:cs="楷体_GB2312"/>
          <w:b w:val="0"/>
          <w:bCs/>
          <w:i w:val="0"/>
          <w:caps w:val="0"/>
          <w:color w:val="auto"/>
          <w:spacing w:val="0"/>
          <w:sz w:val="32"/>
          <w:szCs w:val="32"/>
          <w:highlight w:val="none"/>
          <w:lang w:eastAsia="zh-CN"/>
        </w:rPr>
        <w:t>四</w:t>
      </w:r>
      <w:r>
        <w:rPr>
          <w:rFonts w:hint="default" w:ascii="楷体_GB2312" w:hAnsi="楷体_GB2312" w:eastAsia="楷体_GB2312" w:cs="楷体_GB2312"/>
          <w:b w:val="0"/>
          <w:bCs/>
          <w:i w:val="0"/>
          <w:caps w:val="0"/>
          <w:color w:val="auto"/>
          <w:spacing w:val="0"/>
          <w:sz w:val="32"/>
          <w:szCs w:val="32"/>
          <w:highlight w:val="none"/>
        </w:rPr>
        <w:t>）强化面源污染治理，提升精细化管理水平</w:t>
      </w:r>
    </w:p>
    <w:p>
      <w:pPr>
        <w:keepNext w:val="0"/>
        <w:keepLines w:val="0"/>
        <w:pageBreakBefore w:val="0"/>
        <w:kinsoku/>
        <w:wordWrap/>
        <w:topLinePunct w:val="0"/>
        <w:autoSpaceDE/>
        <w:autoSpaceDN/>
        <w:bidi w:val="0"/>
        <w:snapToGrid/>
        <w:spacing w:before="0" w:beforeLines="0" w:line="580" w:lineRule="exact"/>
        <w:ind w:firstLine="642" w:firstLineChars="200"/>
        <w:textAlignment w:val="auto"/>
        <w:rPr>
          <w:rFonts w:hint="default" w:ascii="楷体_GB2312" w:hAnsi="楷体_GB2312" w:eastAsia="楷体_GB2312" w:cs="楷体_GB2312"/>
          <w:b w:val="0"/>
          <w:bCs/>
          <w:i w:val="0"/>
          <w:caps w:val="0"/>
          <w:color w:val="auto"/>
          <w:spacing w:val="0"/>
          <w:sz w:val="32"/>
          <w:szCs w:val="32"/>
          <w:highlight w:val="none"/>
          <w:lang w:eastAsia="zh-CN"/>
        </w:rPr>
      </w:pPr>
      <w:r>
        <w:rPr>
          <w:rFonts w:hint="default" w:ascii="Times New Roman" w:hAnsi="Times New Roman" w:eastAsia="仿宋_GB2312" w:cs="Times New Roman"/>
          <w:b/>
          <w:bCs w:val="0"/>
          <w:i w:val="0"/>
          <w:caps w:val="0"/>
          <w:color w:val="auto"/>
          <w:spacing w:val="0"/>
          <w:kern w:val="2"/>
          <w:sz w:val="32"/>
          <w:szCs w:val="32"/>
          <w:highlight w:val="none"/>
          <w:lang w:val="en-US" w:eastAsia="zh-CN" w:bidi="ar-SA"/>
        </w:rPr>
        <w:t>1.加强秸秆禁烧和综合利用。</w:t>
      </w:r>
      <w:r>
        <w:rPr>
          <w:rFonts w:hint="default" w:ascii="Times New Roman" w:hAnsi="Times New Roman" w:eastAsia="仿宋_GB2312" w:cs="Times New Roman"/>
          <w:b w:val="0"/>
          <w:bCs/>
          <w:i w:val="0"/>
          <w:caps w:val="0"/>
          <w:color w:val="auto"/>
          <w:spacing w:val="0"/>
          <w:kern w:val="2"/>
          <w:sz w:val="32"/>
          <w:szCs w:val="32"/>
          <w:highlight w:val="none"/>
          <w:lang w:val="en-US" w:eastAsia="zh-CN" w:bidi="ar-SA"/>
        </w:rPr>
        <w:t>结合实际对秸秆禁烧范围等进行优化调整，进一步完善市、县、乡（镇）、村四级全覆盖网格化禁烧监管体系。严格落实禁烧区禁止露天焚烧秸秆的管控要求，综合运用卫星遥感、高清视频监控、无人机等手段，提高秸秆焚烧火点监测精准度。充分发挥基层组织作用，重点开展秋收春耕、甘蔗榨季等重点时段秸秆禁烧专项巡查，紧盯收工时、上半夜、降雨前、播种前等重要时间节点，依法处罚露天焚烧秸秆违法行为。对秸秆焚烧问题突出引发重污染天气的，严肃追责问责。到2024年底，视频监控火点处理率不低于85%，卫星监测禁烧区秸秆焚烧火点数较上年下降10%。</w:t>
      </w:r>
      <w:r>
        <w:rPr>
          <w:rFonts w:hint="default" w:ascii="楷体_GB2312" w:hAnsi="楷体_GB2312" w:eastAsia="楷体_GB2312" w:cs="楷体_GB2312"/>
          <w:b w:val="0"/>
          <w:bCs/>
          <w:i w:val="0"/>
          <w:caps w:val="0"/>
          <w:color w:val="auto"/>
          <w:spacing w:val="0"/>
          <w:sz w:val="32"/>
          <w:szCs w:val="32"/>
          <w:highlight w:val="none"/>
          <w:lang w:val="en-US" w:eastAsia="zh-CN"/>
        </w:rPr>
        <w:t>（牵头单位：市生态环境局。责任单位：</w:t>
      </w:r>
      <w:r>
        <w:rPr>
          <w:rFonts w:hint="default" w:ascii="楷体_GB2312" w:hAnsi="楷体_GB2312" w:eastAsia="楷体_GB2312" w:cs="楷体_GB2312"/>
          <w:b w:val="0"/>
          <w:bCs/>
          <w:i w:val="0"/>
          <w:caps w:val="0"/>
          <w:color w:val="auto"/>
          <w:spacing w:val="0"/>
          <w:sz w:val="32"/>
          <w:szCs w:val="32"/>
          <w:highlight w:val="none"/>
          <w:lang w:eastAsia="zh-CN"/>
        </w:rPr>
        <w:t>各县、区人民政府，</w:t>
      </w:r>
      <w:r>
        <w:rPr>
          <w:rFonts w:hint="eastAsia" w:ascii="楷体_GB2312" w:hAnsi="楷体_GB2312" w:eastAsia="楷体_GB2312" w:cs="楷体_GB2312"/>
          <w:b w:val="0"/>
          <w:bCs/>
          <w:i w:val="0"/>
          <w:caps w:val="0"/>
          <w:color w:val="auto"/>
          <w:spacing w:val="0"/>
          <w:sz w:val="32"/>
          <w:szCs w:val="32"/>
          <w:highlight w:val="none"/>
          <w:lang w:eastAsia="zh-CN"/>
        </w:rPr>
        <w:t>新区管委会</w:t>
      </w:r>
      <w:r>
        <w:rPr>
          <w:rFonts w:hint="default" w:ascii="楷体_GB2312" w:hAnsi="楷体_GB2312" w:eastAsia="楷体_GB2312" w:cs="楷体_GB2312"/>
          <w:b w:val="0"/>
          <w:bCs/>
          <w:i w:val="0"/>
          <w:caps w:val="0"/>
          <w:color w:val="auto"/>
          <w:spacing w:val="0"/>
          <w:sz w:val="32"/>
          <w:szCs w:val="32"/>
          <w:highlight w:val="none"/>
          <w:lang w:val="en-US" w:eastAsia="zh-CN"/>
        </w:rPr>
        <w:t>）</w:t>
      </w:r>
    </w:p>
    <w:p>
      <w:pPr>
        <w:keepNext w:val="0"/>
        <w:keepLines w:val="0"/>
        <w:pageBreakBefore w:val="0"/>
        <w:kinsoku/>
        <w:wordWrap/>
        <w:topLinePunct w:val="0"/>
        <w:autoSpaceDE/>
        <w:autoSpaceDN/>
        <w:bidi w:val="0"/>
        <w:snapToGrid/>
        <w:spacing w:before="0" w:beforeLines="0" w:line="580" w:lineRule="exact"/>
        <w:ind w:firstLine="640" w:firstLineChars="200"/>
        <w:textAlignment w:val="auto"/>
        <w:rPr>
          <w:rFonts w:hint="default" w:ascii="楷体_GB2312" w:hAnsi="楷体_GB2312" w:eastAsia="楷体_GB2312" w:cs="楷体_GB2312"/>
          <w:b w:val="0"/>
          <w:bCs/>
          <w:i w:val="0"/>
          <w:caps w:val="0"/>
          <w:color w:val="auto"/>
          <w:spacing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按照《广西壮族自治区人民政府办公厅关于印发广西加快农作物秸秆综合利用工作方案（2021—2025年）的通知》（桂政办发〔2021〕139号）及本地秸秆综合利用产业发展规划，提高秸秆还田标准化、规范化水平，健全秸秆收储运服务体系，提升产业化能力，提高离田效能。</w:t>
      </w:r>
      <w:r>
        <w:rPr>
          <w:rFonts w:hint="eastAsia" w:ascii="Times New Roman" w:hAnsi="Times New Roman" w:eastAsia="仿宋_GB2312" w:cs="Times New Roman"/>
          <w:strike w:val="0"/>
          <w:dstrike w:val="0"/>
          <w:color w:val="auto"/>
          <w:sz w:val="32"/>
          <w:szCs w:val="32"/>
          <w:highlight w:val="none"/>
          <w:lang w:val="en-US" w:eastAsia="zh-CN"/>
        </w:rPr>
        <w:t>依托市级</w:t>
      </w:r>
      <w:r>
        <w:rPr>
          <w:rFonts w:hint="default" w:ascii="Times New Roman" w:hAnsi="Times New Roman" w:eastAsia="仿宋_GB2312" w:cs="Times New Roman"/>
          <w:strike w:val="0"/>
          <w:dstrike w:val="0"/>
          <w:color w:val="auto"/>
          <w:sz w:val="32"/>
          <w:szCs w:val="32"/>
          <w:highlight w:val="none"/>
          <w:lang w:val="en-US" w:eastAsia="zh-CN"/>
        </w:rPr>
        <w:t>秸秆禁烧和综合利用</w:t>
      </w:r>
      <w:r>
        <w:rPr>
          <w:rFonts w:hint="eastAsia" w:ascii="Times New Roman" w:hAnsi="Times New Roman" w:eastAsia="仿宋_GB2312" w:cs="Times New Roman"/>
          <w:strike w:val="0"/>
          <w:dstrike w:val="0"/>
          <w:color w:val="auto"/>
          <w:sz w:val="32"/>
          <w:szCs w:val="32"/>
          <w:highlight w:val="none"/>
          <w:lang w:val="en-US" w:eastAsia="zh-CN"/>
        </w:rPr>
        <w:t>统筹协调机制</w:t>
      </w:r>
      <w:r>
        <w:rPr>
          <w:rFonts w:hint="default" w:ascii="Times New Roman" w:hAnsi="Times New Roman" w:eastAsia="仿宋_GB2312" w:cs="Times New Roman"/>
          <w:strike w:val="0"/>
          <w:dstrike w:val="0"/>
          <w:color w:val="auto"/>
          <w:sz w:val="32"/>
          <w:szCs w:val="32"/>
          <w:highlight w:val="none"/>
          <w:lang w:val="en-US" w:eastAsia="zh-CN"/>
        </w:rPr>
        <w:t>，强化秸秆离田及综合利用督导推进。</w:t>
      </w:r>
      <w:r>
        <w:rPr>
          <w:rFonts w:hint="default" w:ascii="Times New Roman" w:hAnsi="Times New Roman" w:eastAsia="仿宋_GB2312" w:cs="Times New Roman"/>
          <w:color w:val="auto"/>
          <w:sz w:val="32"/>
          <w:szCs w:val="32"/>
          <w:highlight w:val="none"/>
          <w:lang w:val="en-US" w:eastAsia="zh-CN"/>
        </w:rPr>
        <w:t>持续推广糖企包干处理蔗叶模式，引导糖企通过锅炉技改提升“蔗叶代替蔗渣”入炉燃烧比例。加快培育、引进蔗叶离田利用主体，推广分步式机收等高效模式，提升蔗叶离田率。到2024年底，</w:t>
      </w:r>
      <w:r>
        <w:rPr>
          <w:rFonts w:hint="eastAsia" w:ascii="Times New Roman" w:hAnsi="Times New Roman" w:eastAsia="仿宋_GB2312" w:cs="Times New Roman"/>
          <w:color w:val="auto"/>
          <w:sz w:val="32"/>
          <w:szCs w:val="32"/>
          <w:highlight w:val="none"/>
          <w:lang w:val="en-US" w:eastAsia="zh-CN"/>
        </w:rPr>
        <w:t>全市</w:t>
      </w:r>
      <w:r>
        <w:rPr>
          <w:rFonts w:hint="default" w:ascii="Times New Roman" w:hAnsi="Times New Roman" w:eastAsia="仿宋_GB2312" w:cs="Times New Roman"/>
          <w:color w:val="auto"/>
          <w:sz w:val="32"/>
          <w:szCs w:val="32"/>
          <w:highlight w:val="none"/>
          <w:lang w:val="en-US" w:eastAsia="zh-CN"/>
        </w:rPr>
        <w:t>农作物秸秆综合利用率维持在</w:t>
      </w:r>
      <w:r>
        <w:rPr>
          <w:rFonts w:hint="eastAsia" w:ascii="Times New Roman" w:hAnsi="Times New Roman" w:eastAsia="仿宋_GB2312" w:cs="Times New Roman"/>
          <w:color w:val="auto"/>
          <w:sz w:val="32"/>
          <w:szCs w:val="32"/>
          <w:highlight w:val="none"/>
          <w:lang w:val="en-US" w:eastAsia="zh-CN"/>
        </w:rPr>
        <w:t>86</w:t>
      </w:r>
      <w:r>
        <w:rPr>
          <w:rFonts w:hint="default" w:ascii="Times New Roman" w:hAnsi="Times New Roman" w:eastAsia="仿宋_GB2312" w:cs="Times New Roman"/>
          <w:color w:val="auto"/>
          <w:sz w:val="32"/>
          <w:szCs w:val="32"/>
          <w:highlight w:val="none"/>
          <w:lang w:val="en-US" w:eastAsia="zh-CN"/>
        </w:rPr>
        <w:t>%以上，农作物秸秆离田利用率达到</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%左右；蔗叶离田利用率达到</w:t>
      </w:r>
      <w:r>
        <w:rPr>
          <w:rFonts w:hint="eastAsia" w:ascii="Times New Roman" w:hAnsi="Times New Roman" w:eastAsia="仿宋_GB2312" w:cs="Times New Roman"/>
          <w:color w:val="auto"/>
          <w:sz w:val="32"/>
          <w:szCs w:val="32"/>
          <w:highlight w:val="none"/>
          <w:lang w:val="en-US" w:eastAsia="zh-CN"/>
        </w:rPr>
        <w:t>33</w:t>
      </w:r>
      <w:r>
        <w:rPr>
          <w:rFonts w:hint="default" w:ascii="Times New Roman" w:hAnsi="Times New Roman" w:eastAsia="仿宋_GB2312" w:cs="Times New Roman"/>
          <w:color w:val="auto"/>
          <w:sz w:val="32"/>
          <w:szCs w:val="32"/>
          <w:highlight w:val="none"/>
          <w:lang w:val="en-US" w:eastAsia="zh-CN"/>
        </w:rPr>
        <w:t>%以上，其中禁烧区蔗叶离田利用率达到</w:t>
      </w:r>
      <w:r>
        <w:rPr>
          <w:rFonts w:hint="eastAsia" w:ascii="Times New Roman" w:hAnsi="Times New Roman" w:eastAsia="仿宋_GB2312" w:cs="Times New Roman"/>
          <w:color w:val="auto"/>
          <w:sz w:val="32"/>
          <w:szCs w:val="32"/>
          <w:highlight w:val="none"/>
          <w:lang w:val="en-US" w:eastAsia="zh-CN"/>
        </w:rPr>
        <w:t>65</w:t>
      </w:r>
      <w:r>
        <w:rPr>
          <w:rFonts w:hint="default" w:ascii="Times New Roman" w:hAnsi="Times New Roman" w:eastAsia="仿宋_GB2312" w:cs="Times New Roman"/>
          <w:color w:val="auto"/>
          <w:sz w:val="32"/>
          <w:szCs w:val="32"/>
          <w:highlight w:val="none"/>
          <w:lang w:val="en-US" w:eastAsia="zh-CN"/>
        </w:rPr>
        <w:t>%以上。</w:t>
      </w:r>
      <w:r>
        <w:rPr>
          <w:rFonts w:hint="default" w:ascii="楷体_GB2312" w:hAnsi="楷体_GB2312" w:eastAsia="楷体_GB2312" w:cs="楷体_GB2312"/>
          <w:b w:val="0"/>
          <w:bCs/>
          <w:i w:val="0"/>
          <w:caps w:val="0"/>
          <w:color w:val="auto"/>
          <w:spacing w:val="0"/>
          <w:sz w:val="32"/>
          <w:szCs w:val="32"/>
          <w:highlight w:val="none"/>
          <w:lang w:val="en-US" w:eastAsia="zh-CN"/>
        </w:rPr>
        <w:t>（牵头单位：市农业农村局</w:t>
      </w:r>
      <w:r>
        <w:rPr>
          <w:rFonts w:hint="eastAsia" w:ascii="楷体_GB2312" w:hAnsi="楷体_GB2312" w:eastAsia="楷体_GB2312" w:cs="楷体_GB2312"/>
          <w:b w:val="0"/>
          <w:bCs/>
          <w:i w:val="0"/>
          <w:caps w:val="0"/>
          <w:color w:val="auto"/>
          <w:spacing w:val="0"/>
          <w:sz w:val="32"/>
          <w:szCs w:val="32"/>
          <w:highlight w:val="none"/>
          <w:lang w:val="en-US" w:eastAsia="zh-CN"/>
        </w:rPr>
        <w:t>、市发展改革委</w:t>
      </w:r>
      <w:r>
        <w:rPr>
          <w:rFonts w:hint="default" w:ascii="楷体_GB2312" w:hAnsi="楷体_GB2312" w:eastAsia="楷体_GB2312" w:cs="楷体_GB2312"/>
          <w:b w:val="0"/>
          <w:bCs/>
          <w:i w:val="0"/>
          <w:caps w:val="0"/>
          <w:color w:val="auto"/>
          <w:spacing w:val="0"/>
          <w:sz w:val="32"/>
          <w:szCs w:val="32"/>
          <w:highlight w:val="none"/>
          <w:lang w:val="en-US" w:eastAsia="zh-CN"/>
        </w:rPr>
        <w:t>。责任单位：市工业和信息化局、市科技局、市生态环境局；</w:t>
      </w:r>
      <w:r>
        <w:rPr>
          <w:rFonts w:hint="default" w:ascii="楷体_GB2312" w:hAnsi="楷体_GB2312" w:eastAsia="楷体_GB2312" w:cs="楷体_GB2312"/>
          <w:b w:val="0"/>
          <w:bCs/>
          <w:i w:val="0"/>
          <w:caps w:val="0"/>
          <w:color w:val="auto"/>
          <w:spacing w:val="0"/>
          <w:sz w:val="32"/>
          <w:szCs w:val="32"/>
          <w:highlight w:val="none"/>
          <w:lang w:eastAsia="zh-CN"/>
        </w:rPr>
        <w:t>各县、区人民政府，</w:t>
      </w:r>
      <w:r>
        <w:rPr>
          <w:rFonts w:hint="eastAsia" w:ascii="楷体_GB2312" w:hAnsi="楷体_GB2312" w:eastAsia="楷体_GB2312" w:cs="楷体_GB2312"/>
          <w:b w:val="0"/>
          <w:bCs/>
          <w:i w:val="0"/>
          <w:caps w:val="0"/>
          <w:color w:val="auto"/>
          <w:spacing w:val="0"/>
          <w:sz w:val="32"/>
          <w:szCs w:val="32"/>
          <w:highlight w:val="none"/>
          <w:lang w:eastAsia="zh-CN"/>
        </w:rPr>
        <w:t>新区管委会</w:t>
      </w:r>
      <w:r>
        <w:rPr>
          <w:rFonts w:hint="default" w:ascii="楷体_GB2312" w:hAnsi="楷体_GB2312" w:eastAsia="楷体_GB2312" w:cs="楷体_GB2312"/>
          <w:b w:val="0"/>
          <w:bCs/>
          <w:i w:val="0"/>
          <w:caps w:val="0"/>
          <w:color w:val="auto"/>
          <w:spacing w:val="0"/>
          <w:sz w:val="32"/>
          <w:szCs w:val="32"/>
          <w:highlight w:val="none"/>
          <w:lang w:val="en-US" w:eastAsia="zh-CN"/>
        </w:rPr>
        <w:t>）</w:t>
      </w:r>
    </w:p>
    <w:p>
      <w:pPr>
        <w:keepNext w:val="0"/>
        <w:keepLines w:val="0"/>
        <w:pageBreakBefore w:val="0"/>
        <w:numPr>
          <w:ilvl w:val="0"/>
          <w:numId w:val="0"/>
        </w:numPr>
        <w:kinsoku/>
        <w:wordWrap/>
        <w:topLinePunct w:val="0"/>
        <w:autoSpaceDE/>
        <w:autoSpaceDN/>
        <w:bidi w:val="0"/>
        <w:snapToGrid/>
        <w:spacing w:line="580" w:lineRule="exact"/>
        <w:ind w:firstLine="642" w:firstLineChars="200"/>
        <w:textAlignment w:val="auto"/>
        <w:rPr>
          <w:rFonts w:hint="default" w:ascii="楷体_GB2312" w:hAnsi="楷体_GB2312" w:eastAsia="楷体_GB2312" w:cs="楷体_GB2312"/>
          <w:b w:val="0"/>
          <w:bCs/>
          <w:i w:val="0"/>
          <w:caps w:val="0"/>
          <w:color w:val="auto"/>
          <w:spacing w:val="0"/>
          <w:sz w:val="32"/>
          <w:szCs w:val="32"/>
          <w:highlight w:val="none"/>
          <w:lang w:val="en-US" w:eastAsia="zh-CN"/>
        </w:rPr>
      </w:pPr>
      <w:r>
        <w:rPr>
          <w:rFonts w:hint="eastAsia" w:ascii="Times New Roman" w:hAnsi="Times New Roman" w:eastAsia="仿宋_GB2312" w:cs="Times New Roman"/>
          <w:b/>
          <w:bCs w:val="0"/>
          <w:i w:val="0"/>
          <w:caps w:val="0"/>
          <w:color w:val="auto"/>
          <w:spacing w:val="0"/>
          <w:kern w:val="2"/>
          <w:sz w:val="32"/>
          <w:szCs w:val="32"/>
          <w:highlight w:val="none"/>
          <w:lang w:val="en-US" w:eastAsia="zh-CN" w:bidi="ar-SA"/>
        </w:rPr>
        <w:t>2.深化扬尘污染综合治理</w:t>
      </w:r>
      <w:r>
        <w:rPr>
          <w:rFonts w:hint="default" w:ascii="Times New Roman" w:hAnsi="Times New Roman" w:eastAsia="仿宋_GB2312" w:cs="Times New Roman"/>
          <w:b/>
          <w:bCs w:val="0"/>
          <w:i w:val="0"/>
          <w:caps w:val="0"/>
          <w:color w:val="auto"/>
          <w:spacing w:val="0"/>
          <w:kern w:val="2"/>
          <w:sz w:val="32"/>
          <w:szCs w:val="32"/>
          <w:highlight w:val="none"/>
          <w:lang w:val="en-US" w:eastAsia="zh-CN" w:bidi="ar-SA"/>
        </w:rPr>
        <w:t>。</w:t>
      </w:r>
      <w:r>
        <w:rPr>
          <w:rFonts w:hint="default" w:ascii="Times New Roman" w:hAnsi="Times New Roman" w:eastAsia="仿宋_GB2312" w:cs="Times New Roman"/>
          <w:b w:val="0"/>
          <w:bCs/>
          <w:i w:val="0"/>
          <w:caps w:val="0"/>
          <w:color w:val="auto"/>
          <w:spacing w:val="0"/>
          <w:kern w:val="2"/>
          <w:sz w:val="32"/>
          <w:szCs w:val="32"/>
          <w:highlight w:val="none"/>
          <w:lang w:val="en-US" w:eastAsia="zh-CN" w:bidi="ar-SA"/>
        </w:rPr>
        <w:t>强化扬尘精细化管控，督促各类施工工地做到周边围挡、土方开挖湿法作业、物料堆放覆盖、路面硬化、出入车辆清洗、渣土车辆密闭运输“六个百分之百”。加强施工工地、生产企业、物流园区出场车辆冲洗管理，确保运输车辆车身、轮胎、底盘等部位积泥冲洗干净后方可出场，确保出入口两侧50米范围内道路整洁。将防治扬尘污染费用纳入工程造价。鼓励5000平方米及以上建筑工地安装视频监控并接入当地监管平台。开展城市公共裸地全面排查建档并采取防尘措施。积极推进建成区城市道路机械化清扫作业，城市道路机扫率达到80%左右，县城达70%左右。鼓励开展降尘量监测，开展重点道路积尘走航监测。</w:t>
      </w:r>
      <w:r>
        <w:rPr>
          <w:rFonts w:hint="default" w:ascii="楷体_GB2312" w:hAnsi="楷体_GB2312" w:eastAsia="楷体_GB2312" w:cs="楷体_GB2312"/>
          <w:b w:val="0"/>
          <w:bCs/>
          <w:i w:val="0"/>
          <w:caps w:val="0"/>
          <w:color w:val="auto"/>
          <w:spacing w:val="0"/>
          <w:sz w:val="32"/>
          <w:szCs w:val="32"/>
          <w:highlight w:val="none"/>
          <w:lang w:val="en-US" w:eastAsia="zh-CN"/>
        </w:rPr>
        <w:t>（牵头单位：市住房城乡建设局、市城管执法局。责任单位：市生态环境局、市交通运输局等；</w:t>
      </w:r>
      <w:r>
        <w:rPr>
          <w:rFonts w:hint="default" w:ascii="楷体_GB2312" w:hAnsi="楷体_GB2312" w:eastAsia="楷体_GB2312" w:cs="楷体_GB2312"/>
          <w:b w:val="0"/>
          <w:bCs/>
          <w:i w:val="0"/>
          <w:caps w:val="0"/>
          <w:color w:val="auto"/>
          <w:spacing w:val="0"/>
          <w:sz w:val="32"/>
          <w:szCs w:val="32"/>
          <w:highlight w:val="none"/>
          <w:lang w:eastAsia="zh-CN"/>
        </w:rPr>
        <w:t>各县、区人民政府，</w:t>
      </w:r>
      <w:r>
        <w:rPr>
          <w:rFonts w:hint="eastAsia" w:ascii="楷体_GB2312" w:hAnsi="楷体_GB2312" w:eastAsia="楷体_GB2312" w:cs="楷体_GB2312"/>
          <w:b w:val="0"/>
          <w:bCs/>
          <w:i w:val="0"/>
          <w:caps w:val="0"/>
          <w:color w:val="auto"/>
          <w:spacing w:val="0"/>
          <w:sz w:val="32"/>
          <w:szCs w:val="32"/>
          <w:highlight w:val="none"/>
          <w:lang w:eastAsia="zh-CN"/>
        </w:rPr>
        <w:t>新区管委会</w:t>
      </w:r>
      <w:r>
        <w:rPr>
          <w:rFonts w:hint="default" w:ascii="楷体_GB2312" w:hAnsi="楷体_GB2312" w:eastAsia="楷体_GB2312" w:cs="楷体_GB2312"/>
          <w:b w:val="0"/>
          <w:bCs/>
          <w:i w:val="0"/>
          <w:caps w:val="0"/>
          <w:color w:val="auto"/>
          <w:spacing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default" w:ascii="楷体_GB2312" w:hAnsi="楷体_GB2312" w:eastAsia="楷体_GB2312" w:cs="楷体_GB2312"/>
          <w:b w:val="0"/>
          <w:bCs/>
          <w:i w:val="0"/>
          <w:caps w:val="0"/>
          <w:color w:val="auto"/>
          <w:spacing w:val="0"/>
          <w:sz w:val="32"/>
          <w:szCs w:val="32"/>
          <w:highlight w:val="none"/>
          <w:lang w:val="en-US" w:eastAsia="zh-CN"/>
        </w:rPr>
      </w:pPr>
      <w:r>
        <w:rPr>
          <w:rFonts w:hint="default" w:ascii="Times New Roman" w:hAnsi="Times New Roman" w:eastAsia="仿宋_GB2312" w:cs="Times New Roman"/>
          <w:b/>
          <w:bCs w:val="0"/>
          <w:i w:val="0"/>
          <w:caps w:val="0"/>
          <w:color w:val="auto"/>
          <w:spacing w:val="0"/>
          <w:kern w:val="2"/>
          <w:sz w:val="32"/>
          <w:szCs w:val="32"/>
          <w:highlight w:val="none"/>
          <w:lang w:val="en-US" w:eastAsia="zh-CN" w:bidi="ar-SA"/>
        </w:rPr>
        <w:t>3.持续强化烟花爆竹禁燃限放管控。</w:t>
      </w:r>
      <w:r>
        <w:rPr>
          <w:rFonts w:hint="default" w:ascii="Times New Roman" w:hAnsi="Times New Roman" w:eastAsia="仿宋_GB2312" w:cs="Times New Roman"/>
          <w:b w:val="0"/>
          <w:bCs/>
          <w:i w:val="0"/>
          <w:caps w:val="0"/>
          <w:color w:val="auto"/>
          <w:spacing w:val="0"/>
          <w:kern w:val="2"/>
          <w:sz w:val="32"/>
          <w:szCs w:val="32"/>
          <w:highlight w:val="none"/>
          <w:lang w:val="en-US" w:eastAsia="zh-CN" w:bidi="ar-SA"/>
        </w:rPr>
        <w:t>结合实际、因地制宜、科学管控烟花爆竹禁燃限放工作，紧盯重点时段和重点区域，严厉查处违规生产、经营、储存、运输、燃放烟花爆竹行为。</w:t>
      </w:r>
      <w:r>
        <w:rPr>
          <w:rFonts w:hint="eastAsia" w:ascii="Times New Roman" w:hAnsi="Times New Roman" w:eastAsia="仿宋_GB2312" w:cs="Times New Roman"/>
          <w:b w:val="0"/>
          <w:bCs/>
          <w:i w:val="0"/>
          <w:caps w:val="0"/>
          <w:color w:val="auto"/>
          <w:spacing w:val="0"/>
          <w:kern w:val="2"/>
          <w:sz w:val="32"/>
          <w:szCs w:val="32"/>
          <w:highlight w:val="none"/>
          <w:lang w:val="en-US" w:eastAsia="zh-CN" w:bidi="ar-SA"/>
        </w:rPr>
        <w:t>大型群众性活动确需开展有组织烟花爆竹燃放的县（区）、新区，应按照《柳州市人民政府关于确定禁止燃放烟花爆竹时段、区域的通告》（柳政规〔2019〕51号）要求依法取得相关许可并报柳州市人民政府同意，涉及辖区编制环境空气质量保障应急应对工作方案，并报送至市级生态环境及公安部门。</w:t>
      </w:r>
      <w:r>
        <w:rPr>
          <w:rFonts w:hint="default" w:ascii="楷体_GB2312" w:hAnsi="楷体_GB2312" w:eastAsia="楷体_GB2312" w:cs="楷体_GB2312"/>
          <w:b w:val="0"/>
          <w:bCs/>
          <w:i w:val="0"/>
          <w:caps w:val="0"/>
          <w:color w:val="auto"/>
          <w:spacing w:val="0"/>
          <w:sz w:val="32"/>
          <w:szCs w:val="32"/>
          <w:highlight w:val="none"/>
          <w:lang w:val="en-US" w:eastAsia="zh-CN"/>
        </w:rPr>
        <w:t>（牵头单位：市公安局、市应急局市、市生态环境局。责任单位：市场监管局</w:t>
      </w:r>
      <w:r>
        <w:rPr>
          <w:rFonts w:hint="eastAsia" w:ascii="楷体_GB2312" w:hAnsi="楷体_GB2312" w:eastAsia="楷体_GB2312" w:cs="楷体_GB2312"/>
          <w:b w:val="0"/>
          <w:bCs/>
          <w:i w:val="0"/>
          <w:caps w:val="0"/>
          <w:color w:val="auto"/>
          <w:spacing w:val="0"/>
          <w:sz w:val="32"/>
          <w:szCs w:val="32"/>
          <w:highlight w:val="none"/>
          <w:lang w:val="en-US" w:eastAsia="zh-CN"/>
        </w:rPr>
        <w:t>、</w:t>
      </w:r>
      <w:r>
        <w:rPr>
          <w:rFonts w:hint="default" w:ascii="楷体_GB2312" w:hAnsi="楷体_GB2312" w:eastAsia="楷体_GB2312" w:cs="楷体_GB2312"/>
          <w:b w:val="0"/>
          <w:bCs/>
          <w:i w:val="0"/>
          <w:caps w:val="0"/>
          <w:color w:val="auto"/>
          <w:spacing w:val="0"/>
          <w:sz w:val="32"/>
          <w:szCs w:val="32"/>
          <w:highlight w:val="none"/>
          <w:lang w:val="en-US" w:eastAsia="zh-CN"/>
        </w:rPr>
        <w:t>各县、区人民政府，</w:t>
      </w:r>
      <w:r>
        <w:rPr>
          <w:rFonts w:hint="eastAsia" w:ascii="楷体_GB2312" w:hAnsi="楷体_GB2312" w:eastAsia="楷体_GB2312" w:cs="楷体_GB2312"/>
          <w:b w:val="0"/>
          <w:bCs/>
          <w:i w:val="0"/>
          <w:caps w:val="0"/>
          <w:color w:val="auto"/>
          <w:spacing w:val="0"/>
          <w:sz w:val="32"/>
          <w:szCs w:val="32"/>
          <w:highlight w:val="none"/>
          <w:lang w:val="en-US" w:eastAsia="zh-CN"/>
        </w:rPr>
        <w:t>新区管委会</w:t>
      </w:r>
      <w:r>
        <w:rPr>
          <w:rFonts w:hint="default" w:ascii="楷体_GB2312" w:hAnsi="楷体_GB2312" w:eastAsia="楷体_GB2312" w:cs="楷体_GB2312"/>
          <w:b w:val="0"/>
          <w:bCs/>
          <w:i w:val="0"/>
          <w:caps w:val="0"/>
          <w:color w:val="auto"/>
          <w:spacing w:val="0"/>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楷体_GB2312" w:hAnsi="楷体_GB2312" w:eastAsia="楷体_GB2312" w:cs="楷体_GB2312"/>
          <w:b w:val="0"/>
          <w:bCs/>
          <w:i w:val="0"/>
          <w:caps w:val="0"/>
          <w:color w:val="auto"/>
          <w:spacing w:val="0"/>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4.开展餐饮油烟、恶臭异味专项治理。</w:t>
      </w:r>
      <w:r>
        <w:rPr>
          <w:rFonts w:hint="default" w:ascii="Times New Roman" w:hAnsi="Times New Roman" w:eastAsia="仿宋_GB2312" w:cs="Times New Roman"/>
          <w:b w:val="0"/>
          <w:bCs w:val="0"/>
          <w:color w:val="auto"/>
          <w:kern w:val="2"/>
          <w:sz w:val="32"/>
          <w:szCs w:val="32"/>
          <w:highlight w:val="none"/>
          <w:lang w:val="en-US" w:eastAsia="zh-CN" w:bidi="ar-SA"/>
        </w:rPr>
        <w:t>加强部门联动，深入开展群众反映集中的餐饮油烟、恶臭异味扰民问题排查整治。</w:t>
      </w:r>
      <w:r>
        <w:rPr>
          <w:rFonts w:hint="eastAsia" w:ascii="Times New Roman" w:hAnsi="Times New Roman" w:eastAsia="仿宋_GB2312" w:cs="Times New Roman"/>
          <w:b w:val="0"/>
          <w:bCs w:val="0"/>
          <w:color w:val="auto"/>
          <w:kern w:val="2"/>
          <w:sz w:val="32"/>
          <w:szCs w:val="32"/>
          <w:highlight w:val="none"/>
          <w:lang w:val="en-US" w:eastAsia="zh-CN" w:bidi="ar-SA"/>
        </w:rPr>
        <w:t>推进</w:t>
      </w:r>
      <w:r>
        <w:rPr>
          <w:rFonts w:hint="default" w:ascii="Times New Roman" w:hAnsi="Times New Roman" w:eastAsia="仿宋_GB2312" w:cs="Times New Roman"/>
          <w:b w:val="0"/>
          <w:bCs w:val="0"/>
          <w:color w:val="auto"/>
          <w:kern w:val="2"/>
          <w:sz w:val="32"/>
          <w:szCs w:val="32"/>
          <w:highlight w:val="none"/>
          <w:lang w:val="en-US" w:eastAsia="zh-CN" w:bidi="ar-SA"/>
        </w:rPr>
        <w:t>恶臭异味问题投诉集中的工业园区、重点企业安装运行在线监测系统。严格居民楼附近餐饮服务单位布局管理，拟开设餐饮服务单位的建筑应设计建设专用烟道。</w:t>
      </w:r>
      <w:r>
        <w:rPr>
          <w:rFonts w:hint="eastAsia" w:ascii="Times New Roman" w:hAnsi="Times New Roman" w:eastAsia="仿宋_GB2312" w:cs="Times New Roman"/>
          <w:b w:val="0"/>
          <w:bCs w:val="0"/>
          <w:color w:val="auto"/>
          <w:kern w:val="2"/>
          <w:sz w:val="32"/>
          <w:szCs w:val="32"/>
          <w:highlight w:val="none"/>
          <w:lang w:val="en-US" w:eastAsia="zh-CN" w:bidi="ar-SA"/>
        </w:rPr>
        <w:t>推动</w:t>
      </w:r>
      <w:r>
        <w:rPr>
          <w:rFonts w:hint="default" w:ascii="Times New Roman" w:hAnsi="Times New Roman" w:eastAsia="仿宋_GB2312" w:cs="Times New Roman"/>
          <w:b w:val="0"/>
          <w:bCs w:val="0"/>
          <w:color w:val="auto"/>
          <w:kern w:val="2"/>
          <w:sz w:val="32"/>
          <w:szCs w:val="32"/>
          <w:highlight w:val="none"/>
          <w:lang w:val="en-US" w:eastAsia="zh-CN" w:bidi="ar-SA"/>
        </w:rPr>
        <w:t>实施餐饮业油烟治理设施第三方运维管理及在线监控。</w:t>
      </w:r>
      <w:r>
        <w:rPr>
          <w:rFonts w:hint="default" w:ascii="楷体_GB2312" w:hAnsi="楷体_GB2312" w:eastAsia="楷体_GB2312" w:cs="楷体_GB2312"/>
          <w:b w:val="0"/>
          <w:bCs/>
          <w:i w:val="0"/>
          <w:caps w:val="0"/>
          <w:color w:val="auto"/>
          <w:spacing w:val="0"/>
          <w:kern w:val="2"/>
          <w:sz w:val="32"/>
          <w:szCs w:val="32"/>
          <w:highlight w:val="none"/>
          <w:lang w:val="en-US" w:eastAsia="zh-CN" w:bidi="ar-SA"/>
        </w:rPr>
        <w:t>（牵头单位：市生态环境局、市城管执法局。责任单位：各县、区人民政府，</w:t>
      </w:r>
      <w:r>
        <w:rPr>
          <w:rFonts w:hint="eastAsia" w:ascii="楷体_GB2312" w:hAnsi="楷体_GB2312" w:eastAsia="楷体_GB2312" w:cs="楷体_GB2312"/>
          <w:b w:val="0"/>
          <w:bCs/>
          <w:i w:val="0"/>
          <w:caps w:val="0"/>
          <w:color w:val="auto"/>
          <w:spacing w:val="0"/>
          <w:kern w:val="2"/>
          <w:sz w:val="32"/>
          <w:szCs w:val="32"/>
          <w:highlight w:val="none"/>
          <w:lang w:val="en-US" w:eastAsia="zh-CN" w:bidi="ar-SA"/>
        </w:rPr>
        <w:t>新区管委会</w:t>
      </w:r>
      <w:r>
        <w:rPr>
          <w:rFonts w:hint="default" w:ascii="楷体_GB2312" w:hAnsi="楷体_GB2312" w:eastAsia="楷体_GB2312" w:cs="楷体_GB2312"/>
          <w:b w:val="0"/>
          <w:bCs/>
          <w:i w:val="0"/>
          <w:caps w:val="0"/>
          <w:color w:val="auto"/>
          <w:spacing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b w:val="0"/>
          <w:bCs/>
          <w:i w:val="0"/>
          <w:caps w:val="0"/>
          <w:color w:val="auto"/>
          <w:spacing w:val="0"/>
          <w:sz w:val="32"/>
          <w:szCs w:val="32"/>
          <w:highlight w:val="none"/>
        </w:rPr>
      </w:pPr>
      <w:r>
        <w:rPr>
          <w:rFonts w:hint="default" w:ascii="楷体_GB2312" w:hAnsi="楷体_GB2312" w:eastAsia="楷体_GB2312" w:cs="楷体_GB2312"/>
          <w:b w:val="0"/>
          <w:bCs/>
          <w:i w:val="0"/>
          <w:caps w:val="0"/>
          <w:color w:val="auto"/>
          <w:spacing w:val="0"/>
          <w:sz w:val="32"/>
          <w:szCs w:val="32"/>
          <w:highlight w:val="none"/>
        </w:rPr>
        <w:t>（</w:t>
      </w:r>
      <w:r>
        <w:rPr>
          <w:rFonts w:hint="default" w:ascii="楷体_GB2312" w:hAnsi="楷体_GB2312" w:eastAsia="楷体_GB2312" w:cs="楷体_GB2312"/>
          <w:b w:val="0"/>
          <w:bCs/>
          <w:i w:val="0"/>
          <w:caps w:val="0"/>
          <w:color w:val="auto"/>
          <w:spacing w:val="0"/>
          <w:sz w:val="32"/>
          <w:szCs w:val="32"/>
          <w:highlight w:val="none"/>
          <w:lang w:eastAsia="zh-CN"/>
        </w:rPr>
        <w:t>五</w:t>
      </w:r>
      <w:r>
        <w:rPr>
          <w:rFonts w:hint="default" w:ascii="楷体_GB2312" w:hAnsi="楷体_GB2312" w:eastAsia="楷体_GB2312" w:cs="楷体_GB2312"/>
          <w:b w:val="0"/>
          <w:bCs/>
          <w:i w:val="0"/>
          <w:caps w:val="0"/>
          <w:color w:val="auto"/>
          <w:spacing w:val="0"/>
          <w:sz w:val="32"/>
          <w:szCs w:val="32"/>
          <w:highlight w:val="none"/>
        </w:rPr>
        <w:t>）精准</w:t>
      </w:r>
      <w:r>
        <w:rPr>
          <w:rFonts w:hint="default" w:ascii="楷体_GB2312" w:hAnsi="楷体_GB2312" w:eastAsia="楷体_GB2312" w:cs="楷体_GB2312"/>
          <w:b w:val="0"/>
          <w:bCs/>
          <w:i w:val="0"/>
          <w:caps w:val="0"/>
          <w:color w:val="auto"/>
          <w:spacing w:val="0"/>
          <w:sz w:val="32"/>
          <w:szCs w:val="32"/>
          <w:highlight w:val="none"/>
          <w:lang w:eastAsia="zh-CN"/>
        </w:rPr>
        <w:t>有效应对污染天气</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hint="default" w:ascii="楷体_GB2312" w:hAnsi="楷体_GB2312" w:eastAsia="楷体_GB2312" w:cs="楷体_GB2312"/>
          <w:b w:val="0"/>
          <w:bCs/>
          <w:i w:val="0"/>
          <w:caps w:val="0"/>
          <w:color w:val="auto"/>
          <w:spacing w:val="0"/>
          <w:sz w:val="32"/>
          <w:szCs w:val="32"/>
          <w:highlight w:val="none"/>
          <w:lang w:eastAsia="zh-CN"/>
        </w:rPr>
      </w:pPr>
      <w:r>
        <w:rPr>
          <w:rFonts w:hint="default" w:ascii="Times New Roman" w:hAnsi="Times New Roman" w:eastAsia="仿宋_GB2312" w:cs="Times New Roman"/>
          <w:b/>
          <w:bCs w:val="0"/>
          <w:i w:val="0"/>
          <w:caps w:val="0"/>
          <w:color w:val="auto"/>
          <w:spacing w:val="0"/>
          <w:kern w:val="2"/>
          <w:sz w:val="32"/>
          <w:szCs w:val="32"/>
          <w:highlight w:val="none"/>
          <w:lang w:val="en-US" w:eastAsia="zh-CN" w:bidi="ar-SA"/>
        </w:rPr>
        <w:t>1.提高预警预报能力</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lang w:eastAsia="zh-CN"/>
        </w:rPr>
        <w:t>进一步完善预报预警系统建设，及时分析研判预测空气环境质量，为我市应对污染天气过程提供技术支持。加强环境气象数据共享、空气质量预报预警会商，开展污染过程溯源分析，在污染天气过程期间，科学精准高效组织实施人工影响天气作业。</w:t>
      </w:r>
      <w:r>
        <w:rPr>
          <w:rFonts w:hint="default" w:ascii="楷体_GB2312" w:hAnsi="楷体_GB2312" w:eastAsia="楷体_GB2312" w:cs="楷体_GB2312"/>
          <w:b w:val="0"/>
          <w:bCs/>
          <w:i w:val="0"/>
          <w:caps w:val="0"/>
          <w:color w:val="auto"/>
          <w:spacing w:val="0"/>
          <w:sz w:val="32"/>
          <w:szCs w:val="32"/>
          <w:highlight w:val="none"/>
          <w:lang w:eastAsia="zh-CN"/>
        </w:rPr>
        <w:t>（牵头单位：市生态环境局、市气象局。责任单位：市科技局）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outlineLvl w:val="9"/>
        <w:rPr>
          <w:rFonts w:hint="default" w:ascii="楷体_GB2312" w:hAnsi="楷体_GB2312" w:eastAsia="楷体_GB2312" w:cs="楷体_GB2312"/>
          <w:b w:val="0"/>
          <w:bCs/>
          <w:i w:val="0"/>
          <w:caps w:val="0"/>
          <w:color w:val="auto"/>
          <w:spacing w:val="0"/>
          <w:sz w:val="32"/>
          <w:szCs w:val="32"/>
          <w:highlight w:val="none"/>
          <w:lang w:eastAsia="zh-CN"/>
        </w:rPr>
      </w:pPr>
      <w:r>
        <w:rPr>
          <w:rFonts w:hint="default" w:ascii="Times New Roman" w:hAnsi="Times New Roman" w:eastAsia="仿宋_GB2312" w:cs="Times New Roman"/>
          <w:b/>
          <w:bCs w:val="0"/>
          <w:i w:val="0"/>
          <w:caps w:val="0"/>
          <w:color w:val="auto"/>
          <w:spacing w:val="0"/>
          <w:kern w:val="2"/>
          <w:sz w:val="32"/>
          <w:szCs w:val="32"/>
          <w:highlight w:val="none"/>
          <w:lang w:val="en-US" w:eastAsia="zh-CN" w:bidi="ar-SA"/>
        </w:rPr>
        <w:t>2.提升大气污染防治精细化监控管控能力。</w:t>
      </w:r>
      <w:r>
        <w:rPr>
          <w:rFonts w:hint="default" w:ascii="Times New Roman" w:hAnsi="Times New Roman" w:eastAsia="仿宋_GB2312" w:cs="Times New Roman"/>
          <w:b w:val="0"/>
          <w:bCs/>
          <w:i w:val="0"/>
          <w:caps w:val="0"/>
          <w:color w:val="auto"/>
          <w:spacing w:val="0"/>
          <w:kern w:val="2"/>
          <w:sz w:val="32"/>
          <w:szCs w:val="32"/>
          <w:highlight w:val="none"/>
          <w:lang w:val="en-US" w:eastAsia="zh-CN" w:bidi="ar-SA"/>
        </w:rPr>
        <w:t>优化县城环境空气监测网络，加强数据联网共享，开展非甲烷总烃监测</w:t>
      </w:r>
      <w:r>
        <w:rPr>
          <w:rFonts w:hint="eastAsia" w:ascii="Times New Roman" w:hAnsi="Times New Roman" w:eastAsia="仿宋_GB2312" w:cs="Times New Roman"/>
          <w:b w:val="0"/>
          <w:bCs/>
          <w:i w:val="0"/>
          <w:caps w:val="0"/>
          <w:color w:val="auto"/>
          <w:spacing w:val="0"/>
          <w:kern w:val="2"/>
          <w:sz w:val="32"/>
          <w:szCs w:val="32"/>
          <w:highlight w:val="none"/>
          <w:lang w:val="en-US" w:eastAsia="zh-CN" w:bidi="ar-SA"/>
        </w:rPr>
        <w:t>及</w:t>
      </w:r>
      <w:r>
        <w:rPr>
          <w:rFonts w:hint="default" w:ascii="Times New Roman" w:hAnsi="Times New Roman" w:eastAsia="仿宋_GB2312" w:cs="Times New Roman"/>
          <w:b w:val="0"/>
          <w:bCs/>
          <w:i w:val="0"/>
          <w:caps w:val="0"/>
          <w:color w:val="auto"/>
          <w:spacing w:val="0"/>
          <w:kern w:val="2"/>
          <w:sz w:val="32"/>
          <w:szCs w:val="32"/>
          <w:highlight w:val="none"/>
          <w:lang w:val="en-US" w:eastAsia="zh-CN" w:bidi="ar-SA"/>
        </w:rPr>
        <w:t>光化学监测；继续开展颗粒物组分监测。加强大气环境监测系列卫星等遥感能力建设。</w:t>
      </w:r>
      <w:r>
        <w:rPr>
          <w:rFonts w:hint="default" w:ascii="楷体_GB2312" w:hAnsi="楷体_GB2312" w:eastAsia="楷体_GB2312" w:cs="楷体_GB2312"/>
          <w:b w:val="0"/>
          <w:bCs/>
          <w:i w:val="0"/>
          <w:caps w:val="0"/>
          <w:color w:val="auto"/>
          <w:spacing w:val="0"/>
          <w:sz w:val="32"/>
          <w:szCs w:val="32"/>
          <w:highlight w:val="none"/>
          <w:lang w:val="en-US" w:eastAsia="zh-CN"/>
        </w:rPr>
        <w:t>（牵头单位：市生态环境局。责任单位：各县、区人民政府，</w:t>
      </w:r>
      <w:r>
        <w:rPr>
          <w:rFonts w:hint="eastAsia" w:ascii="楷体_GB2312" w:hAnsi="楷体_GB2312" w:eastAsia="楷体_GB2312" w:cs="楷体_GB2312"/>
          <w:b w:val="0"/>
          <w:bCs/>
          <w:i w:val="0"/>
          <w:caps w:val="0"/>
          <w:color w:val="auto"/>
          <w:spacing w:val="0"/>
          <w:sz w:val="32"/>
          <w:szCs w:val="32"/>
          <w:highlight w:val="none"/>
          <w:lang w:val="en-US" w:eastAsia="zh-CN"/>
        </w:rPr>
        <w:t>新区管委会</w:t>
      </w:r>
      <w:r>
        <w:rPr>
          <w:rFonts w:hint="default" w:ascii="楷体_GB2312" w:hAnsi="楷体_GB2312" w:eastAsia="楷体_GB2312" w:cs="楷体_GB2312"/>
          <w:b w:val="0"/>
          <w:bCs/>
          <w:i w:val="0"/>
          <w:caps w:val="0"/>
          <w:color w:val="auto"/>
          <w:spacing w:val="0"/>
          <w:sz w:val="32"/>
          <w:szCs w:val="32"/>
          <w:highlight w:val="none"/>
          <w:lang w:val="en-US" w:eastAsia="zh-CN"/>
        </w:rPr>
        <w:t>）</w:t>
      </w:r>
    </w:p>
    <w:p>
      <w:pPr>
        <w:keepNext w:val="0"/>
        <w:keepLines w:val="0"/>
        <w:pageBreakBefore w:val="0"/>
        <w:numPr>
          <w:ilvl w:val="0"/>
          <w:numId w:val="0"/>
        </w:numPr>
        <w:kinsoku/>
        <w:wordWrap/>
        <w:topLinePunct w:val="0"/>
        <w:autoSpaceDE/>
        <w:autoSpaceDN/>
        <w:bidi w:val="0"/>
        <w:snapToGrid/>
        <w:spacing w:line="580" w:lineRule="exact"/>
        <w:ind w:firstLine="642" w:firstLineChars="200"/>
        <w:textAlignment w:val="auto"/>
        <w:rPr>
          <w:rFonts w:hint="default" w:ascii="楷体_GB2312" w:hAnsi="楷体_GB2312" w:eastAsia="楷体_GB2312" w:cs="楷体_GB2312"/>
          <w:b w:val="0"/>
          <w:bCs/>
          <w:i w:val="0"/>
          <w:caps w:val="0"/>
          <w:color w:val="auto"/>
          <w:spacing w:val="0"/>
          <w:sz w:val="32"/>
          <w:szCs w:val="32"/>
          <w:highlight w:val="none"/>
          <w:lang w:eastAsia="zh-CN"/>
        </w:rPr>
      </w:pPr>
      <w:r>
        <w:rPr>
          <w:rFonts w:hint="default" w:ascii="Times New Roman" w:hAnsi="Times New Roman" w:eastAsia="仿宋_GB2312" w:cs="Times New Roman"/>
          <w:b/>
          <w:bCs w:val="0"/>
          <w:i w:val="0"/>
          <w:caps w:val="0"/>
          <w:color w:val="auto"/>
          <w:spacing w:val="0"/>
          <w:kern w:val="2"/>
          <w:sz w:val="32"/>
          <w:szCs w:val="32"/>
          <w:highlight w:val="none"/>
          <w:lang w:val="en-US" w:eastAsia="zh-CN" w:bidi="ar-SA"/>
        </w:rPr>
        <w:t>3.加强决策科技支撑。</w:t>
      </w:r>
      <w:r>
        <w:rPr>
          <w:rFonts w:hint="default" w:ascii="Times New Roman" w:hAnsi="Times New Roman" w:eastAsia="仿宋_GB2312" w:cs="Times New Roman"/>
          <w:b w:val="0"/>
          <w:bCs/>
          <w:i w:val="0"/>
          <w:caps w:val="0"/>
          <w:strike w:val="0"/>
          <w:dstrike w:val="0"/>
          <w:color w:val="auto"/>
          <w:spacing w:val="0"/>
          <w:kern w:val="2"/>
          <w:sz w:val="32"/>
          <w:szCs w:val="32"/>
          <w:highlight w:val="none"/>
          <w:lang w:val="en-US" w:eastAsia="zh-CN" w:bidi="ar-SA"/>
        </w:rPr>
        <w:t>针对重点区域、重点行业、重点问题开展PM</w:t>
      </w:r>
      <w:r>
        <w:rPr>
          <w:rFonts w:hint="default" w:ascii="Times New Roman" w:hAnsi="Times New Roman" w:eastAsia="仿宋_GB2312" w:cs="Times New Roman"/>
          <w:b w:val="0"/>
          <w:bCs/>
          <w:i w:val="0"/>
          <w:caps w:val="0"/>
          <w:strike w:val="0"/>
          <w:dstrike w:val="0"/>
          <w:color w:val="auto"/>
          <w:spacing w:val="0"/>
          <w:kern w:val="2"/>
          <w:sz w:val="32"/>
          <w:szCs w:val="32"/>
          <w:highlight w:val="none"/>
          <w:vertAlign w:val="subscript"/>
          <w:lang w:val="en-US" w:eastAsia="zh-CN" w:bidi="ar-SA"/>
        </w:rPr>
        <w:t>2.5</w:t>
      </w:r>
      <w:r>
        <w:rPr>
          <w:rFonts w:hint="default" w:ascii="Times New Roman" w:hAnsi="Times New Roman" w:eastAsia="仿宋_GB2312" w:cs="Times New Roman"/>
          <w:b w:val="0"/>
          <w:bCs/>
          <w:i w:val="0"/>
          <w:caps w:val="0"/>
          <w:strike w:val="0"/>
          <w:dstrike w:val="0"/>
          <w:color w:val="auto"/>
          <w:spacing w:val="0"/>
          <w:kern w:val="2"/>
          <w:sz w:val="32"/>
          <w:szCs w:val="32"/>
          <w:highlight w:val="none"/>
          <w:lang w:val="en-US" w:eastAsia="zh-CN" w:bidi="ar-SA"/>
        </w:rPr>
        <w:t>和O</w:t>
      </w:r>
      <w:r>
        <w:rPr>
          <w:rFonts w:hint="default" w:ascii="Times New Roman" w:hAnsi="Times New Roman" w:eastAsia="仿宋_GB2312" w:cs="Times New Roman"/>
          <w:b w:val="0"/>
          <w:bCs/>
          <w:i w:val="0"/>
          <w:caps w:val="0"/>
          <w:strike w:val="0"/>
          <w:dstrike w:val="0"/>
          <w:color w:val="auto"/>
          <w:spacing w:val="0"/>
          <w:kern w:val="2"/>
          <w:sz w:val="32"/>
          <w:szCs w:val="32"/>
          <w:highlight w:val="none"/>
          <w:vertAlign w:val="subscript"/>
          <w:lang w:val="en-US" w:eastAsia="zh-CN" w:bidi="ar-SA"/>
        </w:rPr>
        <w:t>3</w:t>
      </w:r>
      <w:r>
        <w:rPr>
          <w:rFonts w:hint="default" w:ascii="Times New Roman" w:hAnsi="Times New Roman" w:eastAsia="仿宋_GB2312" w:cs="Times New Roman"/>
          <w:b w:val="0"/>
          <w:bCs/>
          <w:i w:val="0"/>
          <w:caps w:val="0"/>
          <w:strike w:val="0"/>
          <w:dstrike w:val="0"/>
          <w:color w:val="auto"/>
          <w:spacing w:val="0"/>
          <w:kern w:val="2"/>
          <w:sz w:val="32"/>
          <w:szCs w:val="32"/>
          <w:highlight w:val="none"/>
          <w:lang w:val="en-US" w:eastAsia="zh-CN" w:bidi="ar-SA"/>
        </w:rPr>
        <w:t>协同科技攻坚和区域性O</w:t>
      </w:r>
      <w:r>
        <w:rPr>
          <w:rFonts w:hint="default" w:ascii="Times New Roman" w:hAnsi="Times New Roman" w:eastAsia="仿宋_GB2312" w:cs="Times New Roman"/>
          <w:b w:val="0"/>
          <w:bCs/>
          <w:i w:val="0"/>
          <w:caps w:val="0"/>
          <w:strike w:val="0"/>
          <w:dstrike w:val="0"/>
          <w:color w:val="auto"/>
          <w:spacing w:val="0"/>
          <w:kern w:val="2"/>
          <w:sz w:val="32"/>
          <w:szCs w:val="32"/>
          <w:highlight w:val="none"/>
          <w:vertAlign w:val="subscript"/>
          <w:lang w:val="en-US" w:eastAsia="zh-CN" w:bidi="ar-SA"/>
        </w:rPr>
        <w:t>3</w:t>
      </w:r>
      <w:r>
        <w:rPr>
          <w:rFonts w:hint="default" w:ascii="Times New Roman" w:hAnsi="Times New Roman" w:eastAsia="仿宋_GB2312" w:cs="Times New Roman"/>
          <w:b w:val="0"/>
          <w:bCs/>
          <w:i w:val="0"/>
          <w:caps w:val="0"/>
          <w:strike w:val="0"/>
          <w:dstrike w:val="0"/>
          <w:color w:val="auto"/>
          <w:spacing w:val="0"/>
          <w:kern w:val="2"/>
          <w:sz w:val="32"/>
          <w:szCs w:val="32"/>
          <w:highlight w:val="none"/>
          <w:lang w:val="en-US" w:eastAsia="zh-CN" w:bidi="ar-SA"/>
        </w:rPr>
        <w:t>形成机理与控制路径研究。</w:t>
      </w:r>
      <w:r>
        <w:rPr>
          <w:rFonts w:hint="default" w:ascii="Times New Roman" w:hAnsi="Times New Roman" w:eastAsia="仿宋_GB2312" w:cs="Times New Roman"/>
          <w:b w:val="0"/>
          <w:bCs/>
          <w:i w:val="0"/>
          <w:caps w:val="0"/>
          <w:strike w:val="0"/>
          <w:color w:val="auto"/>
          <w:spacing w:val="0"/>
          <w:kern w:val="2"/>
          <w:sz w:val="32"/>
          <w:szCs w:val="32"/>
          <w:highlight w:val="none"/>
          <w:lang w:val="en-US" w:eastAsia="zh-CN" w:bidi="ar-SA"/>
        </w:rPr>
        <w:t>开展城市大气来源解析和</w:t>
      </w:r>
      <w:r>
        <w:rPr>
          <w:rFonts w:hint="default" w:ascii="Times New Roman" w:hAnsi="Times New Roman" w:eastAsia="仿宋_GB2312" w:cs="Times New Roman"/>
          <w:b w:val="0"/>
          <w:bCs/>
          <w:i w:val="0"/>
          <w:caps w:val="0"/>
          <w:color w:val="auto"/>
          <w:spacing w:val="0"/>
          <w:kern w:val="2"/>
          <w:sz w:val="32"/>
          <w:szCs w:val="32"/>
          <w:highlight w:val="none"/>
          <w:lang w:val="en-US" w:eastAsia="zh-CN" w:bidi="ar-SA"/>
        </w:rPr>
        <w:t>排放清单研究工作，推进多源清单融合，动态更新排放清单，及时掌握本地源排放情况，加强大气污染预警预报与污染治理技术研发，鼓励企业、高校与科研院所开展协同创新。支持低浓度、大风量、中小型VOCs排放污染治理技术研究和稳定高效的VOCs吸附催化材料开发。支持重点行业超低排放、工业炉窑综合治理和清洁能源替代、低温脱硝、氨逃逸精准调控、货物运输多式联运、内燃机清洁燃烧等技术研究。推进致臭物质识别、恶臭污染评估和溯源技术方法研究。</w:t>
      </w:r>
      <w:r>
        <w:rPr>
          <w:rFonts w:hint="default" w:ascii="楷体_GB2312" w:hAnsi="楷体_GB2312" w:eastAsia="楷体_GB2312" w:cs="楷体_GB2312"/>
          <w:b w:val="0"/>
          <w:bCs/>
          <w:i w:val="0"/>
          <w:caps w:val="0"/>
          <w:color w:val="auto"/>
          <w:spacing w:val="0"/>
          <w:sz w:val="32"/>
          <w:szCs w:val="32"/>
          <w:highlight w:val="none"/>
          <w:lang w:val="en-US" w:eastAsia="zh-CN"/>
        </w:rPr>
        <w:t>（牵头单位：市生态环境局</w:t>
      </w:r>
      <w:r>
        <w:rPr>
          <w:rFonts w:hint="eastAsia" w:ascii="楷体_GB2312" w:hAnsi="楷体_GB2312" w:eastAsia="楷体_GB2312" w:cs="楷体_GB2312"/>
          <w:b w:val="0"/>
          <w:bCs/>
          <w:i w:val="0"/>
          <w:caps w:val="0"/>
          <w:color w:val="auto"/>
          <w:spacing w:val="0"/>
          <w:sz w:val="32"/>
          <w:szCs w:val="32"/>
          <w:highlight w:val="none"/>
          <w:lang w:val="en-US" w:eastAsia="zh-CN"/>
        </w:rPr>
        <w:t>，市科技局</w:t>
      </w:r>
      <w:r>
        <w:rPr>
          <w:rFonts w:hint="default" w:ascii="楷体_GB2312" w:hAnsi="楷体_GB2312" w:eastAsia="楷体_GB2312" w:cs="楷体_GB2312"/>
          <w:b w:val="0"/>
          <w:bCs/>
          <w:i w:val="0"/>
          <w:caps w:val="0"/>
          <w:color w:val="auto"/>
          <w:spacing w:val="0"/>
          <w:sz w:val="32"/>
          <w:szCs w:val="32"/>
          <w:highlight w:val="none"/>
          <w:lang w:val="en-US" w:eastAsia="zh-CN"/>
        </w:rPr>
        <w:t>。责任单位：</w:t>
      </w:r>
      <w:r>
        <w:rPr>
          <w:rFonts w:hint="eastAsia" w:ascii="楷体_GB2312" w:hAnsi="楷体_GB2312" w:eastAsia="楷体_GB2312" w:cs="楷体_GB2312"/>
          <w:b w:val="0"/>
          <w:bCs/>
          <w:i w:val="0"/>
          <w:caps w:val="0"/>
          <w:color w:val="auto"/>
          <w:spacing w:val="0"/>
          <w:sz w:val="32"/>
          <w:szCs w:val="32"/>
          <w:highlight w:val="none"/>
          <w:lang w:val="en-US" w:eastAsia="zh-CN"/>
        </w:rPr>
        <w:t>市发展改革委、市市场监管局、市气象局；</w:t>
      </w:r>
      <w:r>
        <w:rPr>
          <w:rFonts w:hint="default" w:ascii="楷体_GB2312" w:hAnsi="楷体_GB2312" w:eastAsia="楷体_GB2312" w:cs="楷体_GB2312"/>
          <w:b w:val="0"/>
          <w:bCs/>
          <w:i w:val="0"/>
          <w:caps w:val="0"/>
          <w:color w:val="auto"/>
          <w:spacing w:val="0"/>
          <w:sz w:val="32"/>
          <w:szCs w:val="32"/>
          <w:highlight w:val="none"/>
          <w:lang w:val="en-US" w:eastAsia="zh-CN"/>
        </w:rPr>
        <w:t>各县、区人民政府，</w:t>
      </w:r>
      <w:r>
        <w:rPr>
          <w:rFonts w:hint="eastAsia" w:ascii="楷体_GB2312" w:hAnsi="楷体_GB2312" w:eastAsia="楷体_GB2312" w:cs="楷体_GB2312"/>
          <w:b w:val="0"/>
          <w:bCs/>
          <w:i w:val="0"/>
          <w:caps w:val="0"/>
          <w:color w:val="auto"/>
          <w:spacing w:val="0"/>
          <w:sz w:val="32"/>
          <w:szCs w:val="32"/>
          <w:highlight w:val="none"/>
          <w:lang w:val="en-US" w:eastAsia="zh-CN"/>
        </w:rPr>
        <w:t>新区管委会</w:t>
      </w:r>
      <w:r>
        <w:rPr>
          <w:rFonts w:hint="default" w:ascii="楷体_GB2312" w:hAnsi="楷体_GB2312" w:eastAsia="楷体_GB2312" w:cs="楷体_GB2312"/>
          <w:b w:val="0"/>
          <w:bCs/>
          <w:i w:val="0"/>
          <w:caps w:val="0"/>
          <w:color w:val="auto"/>
          <w:spacing w:val="0"/>
          <w:sz w:val="32"/>
          <w:szCs w:val="32"/>
          <w:highlight w:val="none"/>
          <w:lang w:val="en-US" w:eastAsia="zh-CN"/>
        </w:rPr>
        <w:t>）</w:t>
      </w:r>
    </w:p>
    <w:p>
      <w:pPr>
        <w:keepNext w:val="0"/>
        <w:keepLines w:val="0"/>
        <w:pageBreakBefore w:val="0"/>
        <w:numPr>
          <w:ilvl w:val="0"/>
          <w:numId w:val="0"/>
        </w:numPr>
        <w:kinsoku/>
        <w:wordWrap/>
        <w:topLinePunct w:val="0"/>
        <w:autoSpaceDE/>
        <w:autoSpaceDN/>
        <w:bidi w:val="0"/>
        <w:snapToGrid/>
        <w:spacing w:line="580" w:lineRule="exact"/>
        <w:ind w:firstLine="642" w:firstLineChars="200"/>
        <w:textAlignment w:val="auto"/>
        <w:rPr>
          <w:rFonts w:hint="default" w:ascii="楷体_GB2312" w:hAnsi="楷体_GB2312" w:eastAsia="楷体_GB2312" w:cs="楷体_GB2312"/>
          <w:b w:val="0"/>
          <w:bCs/>
          <w:i w:val="0"/>
          <w:caps w:val="0"/>
          <w:color w:val="auto"/>
          <w:spacing w:val="0"/>
          <w:sz w:val="32"/>
          <w:szCs w:val="32"/>
          <w:highlight w:val="none"/>
          <w:lang w:eastAsia="zh-CN"/>
        </w:rPr>
      </w:pPr>
      <w:r>
        <w:rPr>
          <w:rFonts w:hint="default" w:ascii="Times New Roman" w:hAnsi="Times New Roman" w:eastAsia="仿宋_GB2312" w:cs="Times New Roman"/>
          <w:b/>
          <w:bCs w:val="0"/>
          <w:i w:val="0"/>
          <w:caps w:val="0"/>
          <w:color w:val="auto"/>
          <w:spacing w:val="0"/>
          <w:kern w:val="2"/>
          <w:sz w:val="32"/>
          <w:szCs w:val="32"/>
          <w:highlight w:val="none"/>
          <w:lang w:val="en-US" w:eastAsia="zh-CN" w:bidi="ar-SA"/>
        </w:rPr>
        <w:t>4.完善重污染天气应对机制，强化污染天气应对。</w:t>
      </w:r>
      <w:r>
        <w:rPr>
          <w:rFonts w:hint="default" w:ascii="Times New Roman" w:hAnsi="Times New Roman" w:eastAsia="仿宋_GB2312" w:cs="Times New Roman"/>
          <w:b w:val="0"/>
          <w:bCs/>
          <w:i w:val="0"/>
          <w:caps w:val="0"/>
          <w:color w:val="auto"/>
          <w:spacing w:val="0"/>
          <w:kern w:val="2"/>
          <w:sz w:val="32"/>
          <w:szCs w:val="32"/>
          <w:highlight w:val="none"/>
          <w:lang w:val="en-US" w:eastAsia="zh-CN" w:bidi="ar-SA"/>
        </w:rPr>
        <w:t>健全市、县</w:t>
      </w:r>
      <w:r>
        <w:rPr>
          <w:rFonts w:hint="eastAsia" w:ascii="Times New Roman" w:hAnsi="Times New Roman" w:eastAsia="仿宋_GB2312" w:cs="Times New Roman"/>
          <w:b w:val="0"/>
          <w:bCs/>
          <w:i w:val="0"/>
          <w:caps w:val="0"/>
          <w:color w:val="auto"/>
          <w:spacing w:val="0"/>
          <w:kern w:val="2"/>
          <w:sz w:val="32"/>
          <w:szCs w:val="32"/>
          <w:highlight w:val="none"/>
          <w:lang w:val="en-US" w:eastAsia="zh-CN" w:bidi="ar-SA"/>
        </w:rPr>
        <w:t>两</w:t>
      </w:r>
      <w:r>
        <w:rPr>
          <w:rFonts w:hint="default" w:ascii="Times New Roman" w:hAnsi="Times New Roman" w:eastAsia="仿宋_GB2312" w:cs="Times New Roman"/>
          <w:b w:val="0"/>
          <w:bCs/>
          <w:i w:val="0"/>
          <w:caps w:val="0"/>
          <w:color w:val="auto"/>
          <w:spacing w:val="0"/>
          <w:kern w:val="2"/>
          <w:sz w:val="32"/>
          <w:szCs w:val="32"/>
          <w:highlight w:val="none"/>
          <w:lang w:val="en-US" w:eastAsia="zh-CN" w:bidi="ar-SA"/>
        </w:rPr>
        <w:t>级重污染天气应急预案体系，明确各级政府部门责任分工，规范重污染天气预警启动、响应、解除工作流程。按照污染天气“防重抢轻”要求，强化区域大气污染联防联控，加强污染天气应对全过程管理。</w:t>
      </w:r>
      <w:r>
        <w:rPr>
          <w:rFonts w:hint="default" w:ascii="楷体_GB2312" w:hAnsi="楷体_GB2312" w:eastAsia="楷体_GB2312" w:cs="楷体_GB2312"/>
          <w:b w:val="0"/>
          <w:bCs/>
          <w:i w:val="0"/>
          <w:caps w:val="0"/>
          <w:color w:val="auto"/>
          <w:spacing w:val="0"/>
          <w:sz w:val="32"/>
          <w:szCs w:val="32"/>
          <w:highlight w:val="none"/>
          <w:lang w:val="en-US" w:eastAsia="zh-CN"/>
        </w:rPr>
        <w:t>（牵头单位：市生态环境局。责任单位：各县、区人民政府，</w:t>
      </w:r>
      <w:r>
        <w:rPr>
          <w:rFonts w:hint="eastAsia" w:ascii="楷体_GB2312" w:hAnsi="楷体_GB2312" w:eastAsia="楷体_GB2312" w:cs="楷体_GB2312"/>
          <w:b w:val="0"/>
          <w:bCs/>
          <w:i w:val="0"/>
          <w:caps w:val="0"/>
          <w:color w:val="auto"/>
          <w:spacing w:val="0"/>
          <w:sz w:val="32"/>
          <w:szCs w:val="32"/>
          <w:highlight w:val="none"/>
          <w:lang w:val="en-US" w:eastAsia="zh-CN"/>
        </w:rPr>
        <w:t>新区管委会</w:t>
      </w:r>
      <w:r>
        <w:rPr>
          <w:rFonts w:hint="default" w:ascii="楷体_GB2312" w:hAnsi="楷体_GB2312" w:eastAsia="楷体_GB2312" w:cs="楷体_GB2312"/>
          <w:b w:val="0"/>
          <w:bCs/>
          <w:i w:val="0"/>
          <w:caps w:val="0"/>
          <w:color w:val="auto"/>
          <w:spacing w:val="0"/>
          <w:sz w:val="32"/>
          <w:szCs w:val="32"/>
          <w:highlight w:val="none"/>
          <w:lang w:val="en-US" w:eastAsia="zh-CN"/>
        </w:rPr>
        <w:t>）</w:t>
      </w:r>
    </w:p>
    <w:p>
      <w:pPr>
        <w:keepNext w:val="0"/>
        <w:keepLines w:val="0"/>
        <w:pageBreakBefore w:val="0"/>
        <w:numPr>
          <w:ilvl w:val="0"/>
          <w:numId w:val="0"/>
        </w:numPr>
        <w:kinsoku/>
        <w:wordWrap/>
        <w:topLinePunct w:val="0"/>
        <w:autoSpaceDE/>
        <w:autoSpaceDN/>
        <w:bidi w:val="0"/>
        <w:snapToGrid/>
        <w:spacing w:line="580" w:lineRule="exact"/>
        <w:ind w:firstLine="642" w:firstLineChars="200"/>
        <w:textAlignment w:val="auto"/>
        <w:rPr>
          <w:rFonts w:hint="default" w:ascii="楷体_GB2312" w:hAnsi="楷体_GB2312" w:eastAsia="楷体_GB2312" w:cs="楷体_GB2312"/>
          <w:b w:val="0"/>
          <w:bCs/>
          <w:i w:val="0"/>
          <w:caps w:val="0"/>
          <w:color w:val="auto"/>
          <w:spacing w:val="0"/>
          <w:sz w:val="32"/>
          <w:szCs w:val="32"/>
          <w:highlight w:val="none"/>
          <w:lang w:eastAsia="zh-CN"/>
        </w:rPr>
      </w:pPr>
      <w:r>
        <w:rPr>
          <w:rFonts w:hint="eastAsia" w:ascii="Times New Roman" w:hAnsi="Times New Roman" w:eastAsia="仿宋_GB2312" w:cs="Times New Roman"/>
          <w:b/>
          <w:bCs w:val="0"/>
          <w:i w:val="0"/>
          <w:caps w:val="0"/>
          <w:color w:val="auto"/>
          <w:spacing w:val="0"/>
          <w:kern w:val="2"/>
          <w:sz w:val="32"/>
          <w:szCs w:val="32"/>
          <w:highlight w:val="none"/>
          <w:lang w:val="en-US" w:eastAsia="zh-CN" w:bidi="ar-SA"/>
        </w:rPr>
        <w:t>5</w:t>
      </w:r>
      <w:r>
        <w:rPr>
          <w:rFonts w:hint="default" w:ascii="Times New Roman" w:hAnsi="Times New Roman" w:eastAsia="仿宋_GB2312" w:cs="Times New Roman"/>
          <w:b/>
          <w:bCs w:val="0"/>
          <w:i w:val="0"/>
          <w:caps w:val="0"/>
          <w:color w:val="auto"/>
          <w:spacing w:val="0"/>
          <w:kern w:val="2"/>
          <w:sz w:val="32"/>
          <w:szCs w:val="32"/>
          <w:highlight w:val="none"/>
          <w:lang w:val="en-US" w:eastAsia="zh-CN" w:bidi="ar-SA"/>
        </w:rPr>
        <w:t>.强化大气环境监管执法。</w:t>
      </w:r>
      <w:r>
        <w:rPr>
          <w:rFonts w:hint="default" w:ascii="Times New Roman" w:hAnsi="Times New Roman" w:eastAsia="仿宋_GB2312" w:cs="Times New Roman"/>
          <w:b w:val="0"/>
          <w:bCs/>
          <w:i w:val="0"/>
          <w:caps w:val="0"/>
          <w:strike w:val="0"/>
          <w:dstrike w:val="0"/>
          <w:color w:val="auto"/>
          <w:spacing w:val="0"/>
          <w:kern w:val="2"/>
          <w:sz w:val="32"/>
          <w:szCs w:val="32"/>
          <w:highlight w:val="none"/>
          <w:lang w:val="en-US" w:eastAsia="zh-CN" w:bidi="ar-SA"/>
        </w:rPr>
        <w:t>加强石化、化工、工业涂装、包装印刷、储油库、加油站，以及钢铁、焦化、建材、有色等重点领域监督执法，对参与弄虚作假的排污单位和第三方机构、</w:t>
      </w:r>
      <w:r>
        <w:rPr>
          <w:rFonts w:hint="default" w:ascii="Times New Roman" w:hAnsi="Times New Roman" w:eastAsia="仿宋_GB2312" w:cs="Times New Roman"/>
          <w:b w:val="0"/>
          <w:bCs/>
          <w:i w:val="0"/>
          <w:caps w:val="0"/>
          <w:color w:val="auto"/>
          <w:spacing w:val="0"/>
          <w:kern w:val="2"/>
          <w:sz w:val="32"/>
          <w:szCs w:val="32"/>
          <w:highlight w:val="none"/>
          <w:lang w:val="en-US" w:eastAsia="zh-CN" w:bidi="ar-SA"/>
        </w:rPr>
        <w:t>人员依法追究责任，涉嫌犯罪的依法移送司法机关。严厉打击超标排放、自动监测监控设备不正常运行和数据造假等违法行为。</w:t>
      </w:r>
      <w:r>
        <w:rPr>
          <w:rFonts w:hint="eastAsia" w:ascii="Times New Roman" w:hAnsi="Times New Roman" w:eastAsia="仿宋_GB2312" w:cs="Times New Roman"/>
          <w:b w:val="0"/>
          <w:bCs/>
          <w:i w:val="0"/>
          <w:caps w:val="0"/>
          <w:color w:val="auto"/>
          <w:spacing w:val="0"/>
          <w:kern w:val="2"/>
          <w:sz w:val="32"/>
          <w:szCs w:val="32"/>
          <w:highlight w:val="none"/>
          <w:lang w:val="en-US" w:eastAsia="zh-CN" w:bidi="ar-SA"/>
        </w:rPr>
        <w:t>严格贯彻各项大气法律法规，严格执行大气污染物排放标准，通过有效手段强化威慑大气污染违法行为。</w:t>
      </w:r>
      <w:r>
        <w:rPr>
          <w:rFonts w:hint="default" w:ascii="Times New Roman" w:hAnsi="Times New Roman" w:eastAsia="仿宋_GB2312" w:cs="Times New Roman"/>
          <w:b w:val="0"/>
          <w:bCs/>
          <w:i w:val="0"/>
          <w:caps w:val="0"/>
          <w:color w:val="auto"/>
          <w:spacing w:val="0"/>
          <w:kern w:val="2"/>
          <w:sz w:val="32"/>
          <w:szCs w:val="32"/>
          <w:highlight w:val="none"/>
          <w:lang w:val="en-US" w:eastAsia="zh-CN" w:bidi="ar-SA"/>
        </w:rPr>
        <w:t>提升大气环境执法监管能力建设，充分运用污染源自动监控、工业用电量、车流量、卫星遥感、热点网格等远程信息化技术手段，强化数据分析技术应用，提升监管效能，督促污染应急减排责任落实。污染应急减排措施落实不到位的，督促相关企业、单位、个人及时整改到位，涉及违法的依法处罚。</w:t>
      </w:r>
      <w:r>
        <w:rPr>
          <w:rFonts w:hint="default" w:ascii="楷体_GB2312" w:hAnsi="楷体_GB2312" w:eastAsia="楷体_GB2312" w:cs="楷体_GB2312"/>
          <w:b w:val="0"/>
          <w:bCs/>
          <w:i w:val="0"/>
          <w:caps w:val="0"/>
          <w:color w:val="auto"/>
          <w:spacing w:val="0"/>
          <w:sz w:val="32"/>
          <w:szCs w:val="32"/>
          <w:highlight w:val="none"/>
          <w:lang w:eastAsia="zh-CN"/>
        </w:rPr>
        <w:t>（</w:t>
      </w:r>
      <w:r>
        <w:rPr>
          <w:rFonts w:hint="default" w:ascii="楷体_GB2312" w:hAnsi="楷体_GB2312" w:eastAsia="楷体_GB2312" w:cs="楷体_GB2312"/>
          <w:b w:val="0"/>
          <w:bCs/>
          <w:i w:val="0"/>
          <w:caps w:val="0"/>
          <w:color w:val="auto"/>
          <w:spacing w:val="0"/>
          <w:sz w:val="32"/>
          <w:szCs w:val="32"/>
          <w:highlight w:val="none"/>
          <w:lang w:val="en-US" w:eastAsia="zh-CN"/>
        </w:rPr>
        <w:t>牵头单位：市生态环境局。责任单位：</w:t>
      </w:r>
      <w:r>
        <w:rPr>
          <w:rFonts w:hint="eastAsia" w:ascii="楷体_GB2312" w:hAnsi="楷体_GB2312" w:eastAsia="楷体_GB2312" w:cs="楷体_GB2312"/>
          <w:b w:val="0"/>
          <w:bCs/>
          <w:i w:val="0"/>
          <w:caps w:val="0"/>
          <w:color w:val="auto"/>
          <w:spacing w:val="0"/>
          <w:sz w:val="32"/>
          <w:szCs w:val="32"/>
          <w:highlight w:val="none"/>
          <w:lang w:val="en-US" w:eastAsia="zh-CN"/>
        </w:rPr>
        <w:t>市公安局、市市场监管局；</w:t>
      </w:r>
      <w:r>
        <w:rPr>
          <w:rFonts w:hint="default" w:ascii="楷体_GB2312" w:hAnsi="楷体_GB2312" w:eastAsia="楷体_GB2312" w:cs="楷体_GB2312"/>
          <w:b w:val="0"/>
          <w:bCs/>
          <w:i w:val="0"/>
          <w:caps w:val="0"/>
          <w:color w:val="auto"/>
          <w:spacing w:val="0"/>
          <w:sz w:val="32"/>
          <w:szCs w:val="32"/>
          <w:highlight w:val="none"/>
          <w:lang w:val="en-US" w:eastAsia="zh-CN"/>
        </w:rPr>
        <w:t>各县、区人民政府，</w:t>
      </w:r>
      <w:r>
        <w:rPr>
          <w:rFonts w:hint="eastAsia" w:ascii="楷体_GB2312" w:hAnsi="楷体_GB2312" w:eastAsia="楷体_GB2312" w:cs="楷体_GB2312"/>
          <w:b w:val="0"/>
          <w:bCs/>
          <w:i w:val="0"/>
          <w:caps w:val="0"/>
          <w:color w:val="auto"/>
          <w:spacing w:val="0"/>
          <w:sz w:val="32"/>
          <w:szCs w:val="32"/>
          <w:highlight w:val="none"/>
          <w:lang w:val="en-US" w:eastAsia="zh-CN"/>
        </w:rPr>
        <w:t>新区管委会</w:t>
      </w:r>
      <w:r>
        <w:rPr>
          <w:rFonts w:hint="default" w:ascii="楷体_GB2312" w:hAnsi="楷体_GB2312" w:eastAsia="楷体_GB2312" w:cs="楷体_GB2312"/>
          <w:b w:val="0"/>
          <w:bCs/>
          <w:i w:val="0"/>
          <w:caps w:val="0"/>
          <w:color w:val="auto"/>
          <w:spacing w:val="0"/>
          <w:sz w:val="32"/>
          <w:szCs w:val="32"/>
          <w:highlight w:val="none"/>
          <w:lang w:eastAsia="zh-CN"/>
        </w:rPr>
        <w:t>）</w:t>
      </w:r>
    </w:p>
    <w:p>
      <w:pPr>
        <w:keepNext w:val="0"/>
        <w:keepLines w:val="0"/>
        <w:pageBreakBefore w:val="0"/>
        <w:kinsoku/>
        <w:wordWrap/>
        <w:topLinePunct w:val="0"/>
        <w:autoSpaceDE/>
        <w:autoSpaceDN/>
        <w:bidi w:val="0"/>
        <w:snapToGrid/>
        <w:spacing w:line="580" w:lineRule="exact"/>
        <w:ind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、全面加强组织实施</w:t>
      </w:r>
    </w:p>
    <w:p>
      <w:pPr>
        <w:pStyle w:val="6"/>
        <w:keepNext w:val="0"/>
        <w:keepLines w:val="0"/>
        <w:pageBreakBefore w:val="0"/>
        <w:kinsoku/>
        <w:wordWrap/>
        <w:topLinePunct w:val="0"/>
        <w:autoSpaceDE/>
        <w:autoSpaceDN/>
        <w:bidi w:val="0"/>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级党委和政府要全面落实“党政同责、一岗双责”，对本行政区域大气污染防治工作及环境空气质量负总责，主要领导为第一责任人。要根据本地环境空气质量改善需求和大气污染防治攻坚目标任务，提出符合实际、切实可行的时间表、路线图、施工图，明确职责分工，做好年度任务分解，确保各项任务措施落到实处。各部门要加强协作，各司其职、各负其责，形成齐抓共管的工作局面。对大气污染防治责任不落实、工作推进不力、环境空气质量恶化明显的</w:t>
      </w:r>
      <w:r>
        <w:rPr>
          <w:rFonts w:hint="eastAsia" w:ascii="Times New Roman" w:hAnsi="Times New Roman" w:eastAsia="仿宋_GB2312" w:cs="Times New Roman"/>
          <w:color w:val="auto"/>
          <w:sz w:val="32"/>
          <w:szCs w:val="32"/>
          <w:highlight w:val="none"/>
          <w:lang w:eastAsia="zh-CN"/>
        </w:rPr>
        <w:t>县（区）、新区</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将</w:t>
      </w:r>
      <w:r>
        <w:rPr>
          <w:rFonts w:hint="default" w:ascii="Times New Roman" w:hAnsi="Times New Roman" w:eastAsia="仿宋_GB2312" w:cs="Times New Roman"/>
          <w:color w:val="auto"/>
          <w:sz w:val="32"/>
          <w:szCs w:val="32"/>
          <w:highlight w:val="none"/>
        </w:rPr>
        <w:t>采取通报、预警、约谈、提请问责等措施，确保年度大气污染防治工作落到实处。</w:t>
      </w:r>
    </w:p>
    <w:p>
      <w:pPr>
        <w:keepNext w:val="0"/>
        <w:keepLines w:val="0"/>
        <w:pageBreakBefore w:val="0"/>
        <w:kinsoku/>
        <w:wordWrap/>
        <w:topLinePunct w:val="0"/>
        <w:autoSpaceDE/>
        <w:autoSpaceDN/>
        <w:bidi w:val="0"/>
        <w:snapToGrid/>
        <w:spacing w:line="580" w:lineRule="exact"/>
        <w:ind w:firstLine="645"/>
        <w:textAlignment w:val="auto"/>
        <w:rPr>
          <w:rFonts w:hint="default" w:ascii="Times New Roman" w:hAnsi="Times New Roman" w:eastAsia="仿宋_GB2312" w:cs="Times New Roman"/>
          <w:color w:val="auto"/>
          <w:sz w:val="32"/>
          <w:szCs w:val="32"/>
          <w:highlight w:val="none"/>
          <w:lang w:eastAsia="zh-CN"/>
        </w:rPr>
      </w:pPr>
    </w:p>
    <w:p>
      <w:pPr>
        <w:keepNext w:val="0"/>
        <w:keepLines w:val="0"/>
        <w:pageBreakBefore w:val="0"/>
        <w:kinsoku/>
        <w:wordWrap/>
        <w:topLinePunct w:val="0"/>
        <w:autoSpaceDE/>
        <w:autoSpaceDN/>
        <w:bidi w:val="0"/>
        <w:snapToGrid/>
        <w:spacing w:line="580" w:lineRule="exact"/>
        <w:ind w:firstLine="64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附表：</w:t>
      </w:r>
      <w:r>
        <w:rPr>
          <w:rFonts w:hint="default" w:ascii="Times New Roman" w:hAnsi="Times New Roman" w:eastAsia="仿宋_GB2312" w:cs="Times New Roman"/>
          <w:color w:val="auto"/>
          <w:sz w:val="32"/>
          <w:szCs w:val="32"/>
          <w:highlight w:val="none"/>
        </w:rPr>
        <w:t>1. 202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年各辖区环境空气质量改善目标计划表</w:t>
      </w:r>
    </w:p>
    <w:p>
      <w:pPr>
        <w:keepNext w:val="0"/>
        <w:keepLines w:val="0"/>
        <w:pageBreakBefore w:val="0"/>
        <w:kinsoku/>
        <w:wordWrap/>
        <w:topLinePunct w:val="0"/>
        <w:autoSpaceDE/>
        <w:autoSpaceDN/>
        <w:bidi w:val="0"/>
        <w:snapToGrid/>
        <w:spacing w:line="580" w:lineRule="exact"/>
        <w:ind w:firstLine="1600" w:firstLineChars="500"/>
        <w:textAlignment w:val="auto"/>
        <w:rPr>
          <w:rFonts w:hint="default" w:ascii="Times New Roman" w:hAnsi="Times New Roman" w:eastAsia="仿宋_GB2312" w:cs="Times New Roman"/>
          <w:color w:val="auto"/>
          <w:sz w:val="32"/>
          <w:szCs w:val="32"/>
          <w:highlight w:val="none"/>
        </w:rPr>
        <w:sectPr>
          <w:footerReference r:id="rId3" w:type="default"/>
          <w:pgSz w:w="11906" w:h="16838"/>
          <w:pgMar w:top="2098" w:right="1474" w:bottom="1984" w:left="1587" w:header="851" w:footer="992" w:gutter="0"/>
          <w:cols w:space="720" w:num="1"/>
          <w:docGrid w:type="lines" w:linePitch="312" w:charSpace="0"/>
        </w:sectPr>
      </w:pPr>
      <w:r>
        <w:rPr>
          <w:rFonts w:hint="default" w:ascii="Times New Roman" w:hAnsi="Times New Roman" w:eastAsia="仿宋_GB2312" w:cs="Times New Roman"/>
          <w:color w:val="auto"/>
          <w:sz w:val="32"/>
          <w:szCs w:val="32"/>
          <w:highlight w:val="none"/>
        </w:rPr>
        <w:t>2. 202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年大气污染防治重点工程项目清单</w:t>
      </w:r>
    </w:p>
    <w:p>
      <w:pPr>
        <w:spacing w:line="560" w:lineRule="exact"/>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pPr>
        <w:spacing w:line="560" w:lineRule="exact"/>
        <w:jc w:val="center"/>
        <w:rPr>
          <w:rFonts w:hint="eastAsia" w:ascii="Times New Roman" w:hAnsi="Times New Roman" w:eastAsia="仿宋_GB2312"/>
          <w:color w:val="auto"/>
          <w:sz w:val="32"/>
          <w:szCs w:val="32"/>
          <w:highlight w:val="none"/>
        </w:rPr>
      </w:pPr>
    </w:p>
    <w:p>
      <w:pPr>
        <w:spacing w:line="560" w:lineRule="exact"/>
        <w:jc w:val="center"/>
        <w:rPr>
          <w:rFonts w:hint="eastAsia" w:ascii="方正小标宋简体" w:hAnsi="方正小标宋简体" w:eastAsia="方正小标宋简体" w:cs="方正小标宋简体"/>
          <w:color w:val="auto"/>
          <w:sz w:val="44"/>
          <w:szCs w:val="44"/>
          <w:highlight w:val="none"/>
        </w:rPr>
      </w:pPr>
      <w:r>
        <w:rPr>
          <w:rFonts w:hint="default" w:ascii="Times New Roman" w:hAnsi="Times New Roman" w:eastAsia="方正小标宋简体" w:cs="Times New Roman"/>
          <w:color w:val="auto"/>
          <w:sz w:val="44"/>
          <w:szCs w:val="44"/>
          <w:highlight w:val="none"/>
        </w:rPr>
        <w:t>202</w:t>
      </w:r>
      <w:r>
        <w:rPr>
          <w:rFonts w:hint="eastAsia" w:ascii="Times New Roman" w:hAnsi="Times New Roman" w:eastAsia="方正小标宋简体" w:cs="Times New Roman"/>
          <w:color w:val="auto"/>
          <w:sz w:val="44"/>
          <w:szCs w:val="44"/>
          <w:highlight w:val="none"/>
          <w:lang w:val="en-US" w:eastAsia="zh-CN"/>
        </w:rPr>
        <w:t>4</w:t>
      </w:r>
      <w:r>
        <w:rPr>
          <w:rFonts w:hint="default" w:ascii="Times New Roman" w:hAnsi="Times New Roman" w:eastAsia="方正小标宋简体" w:cs="Times New Roman"/>
          <w:color w:val="auto"/>
          <w:sz w:val="44"/>
          <w:szCs w:val="44"/>
          <w:highlight w:val="none"/>
        </w:rPr>
        <w:t>年各辖区环境空气质量改善目标计划表</w:t>
      </w:r>
    </w:p>
    <w:p>
      <w:pPr>
        <w:pStyle w:val="16"/>
        <w:spacing w:after="62" w:afterLines="20" w:line="400" w:lineRule="exact"/>
        <w:ind w:left="641" w:firstLine="0" w:firstLineChars="0"/>
        <w:jc w:val="right"/>
        <w:rPr>
          <w:rFonts w:hint="eastAsia" w:ascii="Times New Roman" w:hAnsi="Times New Roman"/>
          <w:bCs/>
          <w:color w:val="auto"/>
          <w:szCs w:val="28"/>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700"/>
        <w:gridCol w:w="1209"/>
        <w:gridCol w:w="1210"/>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2041" w:type="dxa"/>
            <w:noWrap w:val="0"/>
            <w:vAlign w:val="center"/>
          </w:tcPr>
          <w:p>
            <w:pPr>
              <w:spacing w:line="560" w:lineRule="exact"/>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城区、开发区</w:t>
            </w:r>
          </w:p>
        </w:tc>
        <w:tc>
          <w:tcPr>
            <w:tcW w:w="2700" w:type="dxa"/>
            <w:noWrap w:val="0"/>
            <w:vAlign w:val="center"/>
          </w:tcPr>
          <w:p>
            <w:pPr>
              <w:spacing w:line="560" w:lineRule="exact"/>
              <w:jc w:val="center"/>
              <w:rPr>
                <w:rFonts w:ascii="黑体" w:hAnsi="黑体" w:eastAsia="黑体"/>
                <w:bCs/>
                <w:color w:val="auto"/>
                <w:sz w:val="28"/>
                <w:szCs w:val="28"/>
                <w:highlight w:val="none"/>
              </w:rPr>
            </w:pPr>
            <w:r>
              <w:rPr>
                <w:rFonts w:ascii="黑体" w:hAnsi="黑体" w:eastAsia="黑体"/>
                <w:bCs/>
                <w:color w:val="auto"/>
                <w:sz w:val="28"/>
                <w:szCs w:val="28"/>
                <w:highlight w:val="none"/>
              </w:rPr>
              <w:t>考 核 站 点</w:t>
            </w:r>
          </w:p>
        </w:tc>
        <w:tc>
          <w:tcPr>
            <w:tcW w:w="1209" w:type="dxa"/>
            <w:noWrap w:val="0"/>
            <w:vAlign w:val="center"/>
          </w:tcPr>
          <w:p>
            <w:pPr>
              <w:spacing w:line="300" w:lineRule="exact"/>
              <w:jc w:val="center"/>
              <w:rPr>
                <w:rFonts w:hint="default" w:ascii="Times New Roman" w:hAnsi="Times New Roman" w:eastAsia="仿宋_GB2312" w:cs="Times New Roman"/>
                <w:b/>
                <w:bCs/>
                <w:color w:val="auto"/>
                <w:sz w:val="30"/>
                <w:szCs w:val="30"/>
                <w:highlight w:val="none"/>
              </w:rPr>
            </w:pPr>
            <w:r>
              <w:rPr>
                <w:rFonts w:hint="default" w:ascii="Times New Roman" w:hAnsi="Times New Roman" w:eastAsia="仿宋_GB2312" w:cs="Times New Roman"/>
                <w:b/>
                <w:bCs/>
                <w:color w:val="auto"/>
                <w:sz w:val="30"/>
                <w:szCs w:val="30"/>
                <w:highlight w:val="none"/>
              </w:rPr>
              <w:t>PM</w:t>
            </w:r>
            <w:r>
              <w:rPr>
                <w:rFonts w:hint="default" w:ascii="Times New Roman" w:hAnsi="Times New Roman" w:eastAsia="仿宋_GB2312" w:cs="Times New Roman"/>
                <w:b/>
                <w:bCs/>
                <w:color w:val="auto"/>
                <w:sz w:val="30"/>
                <w:szCs w:val="30"/>
                <w:highlight w:val="none"/>
                <w:vertAlign w:val="subscript"/>
              </w:rPr>
              <w:t>10</w:t>
            </w:r>
          </w:p>
          <w:p>
            <w:pPr>
              <w:spacing w:line="300" w:lineRule="exact"/>
              <w:jc w:val="center"/>
              <w:rPr>
                <w:rFonts w:hint="default" w:ascii="Times New Roman" w:hAnsi="Times New Roman" w:eastAsia="仿宋_GB2312" w:cs="Times New Roman"/>
                <w:b/>
                <w:bCs/>
                <w:color w:val="auto"/>
                <w:sz w:val="30"/>
                <w:szCs w:val="30"/>
                <w:highlight w:val="none"/>
              </w:rPr>
            </w:pPr>
            <w:r>
              <w:rPr>
                <w:rFonts w:hint="default" w:ascii="Times New Roman" w:hAnsi="Times New Roman" w:cs="Times New Roman"/>
                <w:bCs/>
                <w:color w:val="auto"/>
                <w:szCs w:val="28"/>
                <w:highlight w:val="none"/>
              </w:rPr>
              <w:t>（μg/m</w:t>
            </w:r>
            <w:r>
              <w:rPr>
                <w:rFonts w:hint="default" w:ascii="Times New Roman" w:hAnsi="Times New Roman" w:cs="Times New Roman"/>
                <w:bCs/>
                <w:color w:val="auto"/>
                <w:szCs w:val="28"/>
                <w:highlight w:val="none"/>
                <w:vertAlign w:val="superscript"/>
              </w:rPr>
              <w:t>3</w:t>
            </w:r>
            <w:r>
              <w:rPr>
                <w:rFonts w:hint="default" w:ascii="Times New Roman" w:hAnsi="Times New Roman" w:cs="Times New Roman"/>
                <w:bCs/>
                <w:color w:val="auto"/>
                <w:szCs w:val="28"/>
                <w:highlight w:val="none"/>
              </w:rPr>
              <w:t>）</w:t>
            </w:r>
          </w:p>
        </w:tc>
        <w:tc>
          <w:tcPr>
            <w:tcW w:w="1210" w:type="dxa"/>
            <w:noWrap w:val="0"/>
            <w:vAlign w:val="center"/>
          </w:tcPr>
          <w:p>
            <w:pPr>
              <w:spacing w:line="300" w:lineRule="exact"/>
              <w:jc w:val="center"/>
              <w:rPr>
                <w:rFonts w:hint="default" w:ascii="Times New Roman" w:hAnsi="Times New Roman" w:eastAsia="仿宋_GB2312" w:cs="Times New Roman"/>
                <w:b/>
                <w:bCs/>
                <w:color w:val="auto"/>
                <w:sz w:val="30"/>
                <w:szCs w:val="30"/>
                <w:highlight w:val="none"/>
              </w:rPr>
            </w:pPr>
            <w:r>
              <w:rPr>
                <w:rFonts w:hint="default" w:ascii="Times New Roman" w:hAnsi="Times New Roman" w:eastAsia="仿宋_GB2312" w:cs="Times New Roman"/>
                <w:b/>
                <w:bCs/>
                <w:color w:val="auto"/>
                <w:sz w:val="30"/>
                <w:szCs w:val="30"/>
                <w:highlight w:val="none"/>
              </w:rPr>
              <w:t>PM</w:t>
            </w:r>
            <w:r>
              <w:rPr>
                <w:rFonts w:hint="default" w:ascii="Times New Roman" w:hAnsi="Times New Roman" w:eastAsia="仿宋_GB2312" w:cs="Times New Roman"/>
                <w:b/>
                <w:bCs/>
                <w:color w:val="auto"/>
                <w:sz w:val="30"/>
                <w:szCs w:val="30"/>
                <w:highlight w:val="none"/>
                <w:vertAlign w:val="subscript"/>
              </w:rPr>
              <w:t>2.5</w:t>
            </w:r>
          </w:p>
          <w:p>
            <w:pPr>
              <w:spacing w:line="300" w:lineRule="exact"/>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cs="Times New Roman"/>
                <w:bCs/>
                <w:color w:val="auto"/>
                <w:szCs w:val="28"/>
                <w:highlight w:val="none"/>
              </w:rPr>
              <w:t>（μg/m</w:t>
            </w:r>
            <w:r>
              <w:rPr>
                <w:rFonts w:hint="default" w:ascii="Times New Roman" w:hAnsi="Times New Roman" w:cs="Times New Roman"/>
                <w:bCs/>
                <w:color w:val="auto"/>
                <w:szCs w:val="28"/>
                <w:highlight w:val="none"/>
                <w:vertAlign w:val="superscript"/>
              </w:rPr>
              <w:t>3</w:t>
            </w:r>
            <w:r>
              <w:rPr>
                <w:rFonts w:hint="default" w:ascii="Times New Roman" w:hAnsi="Times New Roman" w:cs="Times New Roman"/>
                <w:bCs/>
                <w:color w:val="auto"/>
                <w:szCs w:val="28"/>
                <w:highlight w:val="none"/>
              </w:rPr>
              <w:t>）</w:t>
            </w:r>
          </w:p>
        </w:tc>
        <w:tc>
          <w:tcPr>
            <w:tcW w:w="1937" w:type="dxa"/>
            <w:noWrap w:val="0"/>
            <w:vAlign w:val="center"/>
          </w:tcPr>
          <w:p>
            <w:pPr>
              <w:spacing w:line="400" w:lineRule="exact"/>
              <w:jc w:val="center"/>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优良天数</w:t>
            </w:r>
          </w:p>
          <w:p>
            <w:pPr>
              <w:spacing w:line="400" w:lineRule="exact"/>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黑体" w:cs="Times New Roman"/>
                <w:bCs/>
                <w:color w:val="auto"/>
                <w:sz w:val="28"/>
                <w:szCs w:val="28"/>
                <w:highlight w:val="none"/>
              </w:rPr>
              <w:t>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1" w:type="dxa"/>
            <w:vMerge w:val="restart"/>
            <w:noWrap w:val="0"/>
            <w:vAlign w:val="center"/>
          </w:tcPr>
          <w:p>
            <w:pPr>
              <w:spacing w:line="560" w:lineRule="exact"/>
              <w:jc w:val="center"/>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柳北区</w:t>
            </w:r>
          </w:p>
        </w:tc>
        <w:tc>
          <w:tcPr>
            <w:tcW w:w="2700" w:type="dxa"/>
            <w:noWrap w:val="0"/>
            <w:vAlign w:val="center"/>
          </w:tcPr>
          <w:p>
            <w:pPr>
              <w:spacing w:line="56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环保监测站</w:t>
            </w:r>
          </w:p>
        </w:tc>
        <w:tc>
          <w:tcPr>
            <w:tcW w:w="1209" w:type="dxa"/>
            <w:vMerge w:val="restart"/>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51.0</w:t>
            </w:r>
          </w:p>
        </w:tc>
        <w:tc>
          <w:tcPr>
            <w:tcW w:w="1210" w:type="dxa"/>
            <w:vMerge w:val="restart"/>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31.3</w:t>
            </w:r>
          </w:p>
        </w:tc>
        <w:tc>
          <w:tcPr>
            <w:tcW w:w="1937" w:type="dxa"/>
            <w:vMerge w:val="restart"/>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1" w:type="dxa"/>
            <w:vMerge w:val="continue"/>
            <w:noWrap w:val="0"/>
            <w:vAlign w:val="center"/>
          </w:tcPr>
          <w:p>
            <w:pPr>
              <w:spacing w:line="560" w:lineRule="exact"/>
              <w:jc w:val="center"/>
              <w:rPr>
                <w:rFonts w:ascii="Times New Roman" w:hAnsi="Times New Roman" w:eastAsia="仿宋_GB2312"/>
                <w:color w:val="auto"/>
                <w:sz w:val="28"/>
                <w:szCs w:val="28"/>
                <w:highlight w:val="none"/>
              </w:rPr>
            </w:pPr>
          </w:p>
        </w:tc>
        <w:tc>
          <w:tcPr>
            <w:tcW w:w="2700" w:type="dxa"/>
            <w:noWrap w:val="0"/>
            <w:vAlign w:val="center"/>
          </w:tcPr>
          <w:p>
            <w:pPr>
              <w:spacing w:line="56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市九中</w:t>
            </w:r>
          </w:p>
        </w:tc>
        <w:tc>
          <w:tcPr>
            <w:tcW w:w="1209" w:type="dxa"/>
            <w:vMerge w:val="continue"/>
            <w:noWrap w:val="0"/>
            <w:vAlign w:val="center"/>
          </w:tcPr>
          <w:p>
            <w:pPr>
              <w:spacing w:line="560" w:lineRule="exact"/>
              <w:jc w:val="center"/>
              <w:rPr>
                <w:rFonts w:hint="default" w:ascii="Times New Roman" w:hAnsi="Times New Roman" w:eastAsia="仿宋_GB2312" w:cs="Times New Roman"/>
                <w:color w:val="auto"/>
                <w:sz w:val="28"/>
                <w:szCs w:val="28"/>
                <w:highlight w:val="none"/>
                <w:lang w:eastAsia="zh-CN"/>
              </w:rPr>
            </w:pPr>
          </w:p>
        </w:tc>
        <w:tc>
          <w:tcPr>
            <w:tcW w:w="1210" w:type="dxa"/>
            <w:vMerge w:val="continue"/>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p>
        </w:tc>
        <w:tc>
          <w:tcPr>
            <w:tcW w:w="1937" w:type="dxa"/>
            <w:vMerge w:val="continue"/>
            <w:noWrap w:val="0"/>
            <w:vAlign w:val="center"/>
          </w:tcPr>
          <w:p>
            <w:pPr>
              <w:spacing w:line="56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1" w:type="dxa"/>
            <w:noWrap w:val="0"/>
            <w:vAlign w:val="center"/>
          </w:tcPr>
          <w:p>
            <w:pPr>
              <w:spacing w:line="56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城中区</w:t>
            </w:r>
          </w:p>
        </w:tc>
        <w:tc>
          <w:tcPr>
            <w:tcW w:w="2700" w:type="dxa"/>
            <w:noWrap w:val="0"/>
            <w:vAlign w:val="center"/>
          </w:tcPr>
          <w:p>
            <w:pPr>
              <w:spacing w:line="56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柳东小学</w:t>
            </w:r>
          </w:p>
        </w:tc>
        <w:tc>
          <w:tcPr>
            <w:tcW w:w="1209"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40.0</w:t>
            </w:r>
          </w:p>
        </w:tc>
        <w:tc>
          <w:tcPr>
            <w:tcW w:w="1210"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30.0</w:t>
            </w:r>
          </w:p>
        </w:tc>
        <w:tc>
          <w:tcPr>
            <w:tcW w:w="1937"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1" w:type="dxa"/>
            <w:noWrap w:val="0"/>
            <w:vAlign w:val="center"/>
          </w:tcPr>
          <w:p>
            <w:pPr>
              <w:spacing w:line="56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鱼峰区</w:t>
            </w:r>
          </w:p>
        </w:tc>
        <w:tc>
          <w:tcPr>
            <w:tcW w:w="2700" w:type="dxa"/>
            <w:noWrap w:val="0"/>
            <w:vAlign w:val="center"/>
          </w:tcPr>
          <w:p>
            <w:pPr>
              <w:spacing w:line="56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市四中</w:t>
            </w:r>
          </w:p>
        </w:tc>
        <w:tc>
          <w:tcPr>
            <w:tcW w:w="1209"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52.0</w:t>
            </w:r>
          </w:p>
        </w:tc>
        <w:tc>
          <w:tcPr>
            <w:tcW w:w="1210"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30.0</w:t>
            </w:r>
          </w:p>
        </w:tc>
        <w:tc>
          <w:tcPr>
            <w:tcW w:w="1937"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1" w:type="dxa"/>
            <w:noWrap w:val="0"/>
            <w:vAlign w:val="center"/>
          </w:tcPr>
          <w:p>
            <w:pPr>
              <w:spacing w:line="56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柳南区</w:t>
            </w:r>
          </w:p>
        </w:tc>
        <w:tc>
          <w:tcPr>
            <w:tcW w:w="2700" w:type="dxa"/>
            <w:noWrap w:val="0"/>
            <w:vAlign w:val="center"/>
          </w:tcPr>
          <w:p>
            <w:pPr>
              <w:spacing w:line="56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河西水厂</w:t>
            </w:r>
          </w:p>
        </w:tc>
        <w:tc>
          <w:tcPr>
            <w:tcW w:w="1209"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54.0</w:t>
            </w:r>
          </w:p>
        </w:tc>
        <w:tc>
          <w:tcPr>
            <w:tcW w:w="1210"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31.3</w:t>
            </w:r>
          </w:p>
        </w:tc>
        <w:tc>
          <w:tcPr>
            <w:tcW w:w="1937"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1" w:type="dxa"/>
            <w:noWrap w:val="0"/>
            <w:vAlign w:val="center"/>
          </w:tcPr>
          <w:p>
            <w:pPr>
              <w:spacing w:line="560" w:lineRule="exact"/>
              <w:jc w:val="center"/>
              <w:rPr>
                <w:rFonts w:ascii="Times New Roman" w:hAnsi="Times New Roman" w:eastAsia="仿宋_GB2312"/>
                <w:color w:val="auto"/>
                <w:spacing w:val="-8"/>
                <w:sz w:val="28"/>
                <w:szCs w:val="28"/>
                <w:highlight w:val="none"/>
              </w:rPr>
            </w:pPr>
            <w:r>
              <w:rPr>
                <w:rFonts w:ascii="Times New Roman" w:hAnsi="Times New Roman" w:eastAsia="仿宋_GB2312"/>
                <w:color w:val="auto"/>
                <w:spacing w:val="-8"/>
                <w:sz w:val="28"/>
                <w:szCs w:val="28"/>
                <w:highlight w:val="none"/>
              </w:rPr>
              <w:t>柳东新区</w:t>
            </w:r>
          </w:p>
        </w:tc>
        <w:tc>
          <w:tcPr>
            <w:tcW w:w="2700" w:type="dxa"/>
            <w:noWrap w:val="0"/>
            <w:vAlign w:val="center"/>
          </w:tcPr>
          <w:p>
            <w:pPr>
              <w:spacing w:line="56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市二中</w:t>
            </w:r>
          </w:p>
        </w:tc>
        <w:tc>
          <w:tcPr>
            <w:tcW w:w="1209"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49.0</w:t>
            </w:r>
          </w:p>
        </w:tc>
        <w:tc>
          <w:tcPr>
            <w:tcW w:w="1210"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29.0</w:t>
            </w:r>
          </w:p>
        </w:tc>
        <w:tc>
          <w:tcPr>
            <w:tcW w:w="1937"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1" w:type="dxa"/>
            <w:noWrap w:val="0"/>
            <w:vAlign w:val="center"/>
          </w:tcPr>
          <w:p>
            <w:pPr>
              <w:spacing w:line="560" w:lineRule="exact"/>
              <w:jc w:val="center"/>
              <w:rPr>
                <w:rFonts w:ascii="Times New Roman" w:hAnsi="Times New Roman" w:eastAsia="仿宋_GB2312"/>
                <w:color w:val="auto"/>
                <w:spacing w:val="-8"/>
                <w:sz w:val="28"/>
                <w:szCs w:val="28"/>
                <w:highlight w:val="none"/>
              </w:rPr>
            </w:pPr>
            <w:r>
              <w:rPr>
                <w:rFonts w:ascii="Times New Roman" w:hAnsi="Times New Roman" w:eastAsia="仿宋_GB2312"/>
                <w:color w:val="auto"/>
                <w:spacing w:val="-8"/>
                <w:sz w:val="28"/>
                <w:szCs w:val="28"/>
                <w:highlight w:val="none"/>
              </w:rPr>
              <w:t>阳和工业新区</w:t>
            </w:r>
          </w:p>
        </w:tc>
        <w:tc>
          <w:tcPr>
            <w:tcW w:w="2700" w:type="dxa"/>
            <w:noWrap w:val="0"/>
            <w:vAlign w:val="center"/>
          </w:tcPr>
          <w:p>
            <w:pPr>
              <w:spacing w:line="56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古亭山</w:t>
            </w:r>
          </w:p>
        </w:tc>
        <w:tc>
          <w:tcPr>
            <w:tcW w:w="1209"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41.5</w:t>
            </w:r>
          </w:p>
        </w:tc>
        <w:tc>
          <w:tcPr>
            <w:tcW w:w="1210"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27.5</w:t>
            </w:r>
          </w:p>
        </w:tc>
        <w:tc>
          <w:tcPr>
            <w:tcW w:w="1937"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41" w:type="dxa"/>
            <w:gridSpan w:val="2"/>
            <w:noWrap w:val="0"/>
            <w:vAlign w:val="center"/>
          </w:tcPr>
          <w:p>
            <w:pPr>
              <w:spacing w:line="560" w:lineRule="exact"/>
              <w:jc w:val="center"/>
              <w:rPr>
                <w:rFonts w:hint="eastAsia" w:ascii="Times New Roman" w:hAnsi="Times New Roman" w:eastAsia="仿宋_GB2312"/>
                <w:color w:val="auto"/>
                <w:sz w:val="28"/>
                <w:szCs w:val="28"/>
                <w:highlight w:val="none"/>
                <w:lang w:eastAsia="zh-CN"/>
              </w:rPr>
            </w:pPr>
            <w:r>
              <w:rPr>
                <w:rFonts w:ascii="Times New Roman" w:hAnsi="Times New Roman" w:eastAsia="仿宋_GB2312"/>
                <w:b/>
                <w:color w:val="auto"/>
                <w:spacing w:val="-8"/>
                <w:sz w:val="28"/>
                <w:szCs w:val="28"/>
                <w:highlight w:val="none"/>
              </w:rPr>
              <w:t>全市</w:t>
            </w:r>
            <w:r>
              <w:rPr>
                <w:rFonts w:hint="eastAsia" w:ascii="Times New Roman" w:hAnsi="Times New Roman" w:eastAsia="仿宋_GB2312"/>
                <w:b/>
                <w:color w:val="auto"/>
                <w:spacing w:val="-8"/>
                <w:sz w:val="28"/>
                <w:szCs w:val="28"/>
                <w:highlight w:val="none"/>
                <w:lang w:eastAsia="zh-CN"/>
              </w:rPr>
              <w:t>目标</w:t>
            </w:r>
          </w:p>
        </w:tc>
        <w:tc>
          <w:tcPr>
            <w:tcW w:w="1209"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48.4</w:t>
            </w:r>
          </w:p>
        </w:tc>
        <w:tc>
          <w:tcPr>
            <w:tcW w:w="1210"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30.2</w:t>
            </w:r>
          </w:p>
        </w:tc>
        <w:tc>
          <w:tcPr>
            <w:tcW w:w="1937" w:type="dxa"/>
            <w:noWrap w:val="0"/>
            <w:vAlign w:val="center"/>
          </w:tcPr>
          <w:p>
            <w:pPr>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93.</w:t>
            </w: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w:t>
            </w:r>
          </w:p>
        </w:tc>
      </w:tr>
    </w:tbl>
    <w:p>
      <w:pPr>
        <w:pStyle w:val="16"/>
        <w:spacing w:before="156" w:beforeLines="50" w:after="62" w:afterLines="20" w:line="400" w:lineRule="exact"/>
        <w:ind w:left="641" w:firstLine="0" w:firstLineChars="0"/>
        <w:jc w:val="right"/>
        <w:rPr>
          <w:rFonts w:ascii="Times New Roman" w:hAnsi="Times New Roman"/>
          <w:bCs/>
          <w:color w:val="auto"/>
          <w:szCs w:val="28"/>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700"/>
        <w:gridCol w:w="1209"/>
        <w:gridCol w:w="1210"/>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jc w:val="center"/>
        </w:trPr>
        <w:tc>
          <w:tcPr>
            <w:tcW w:w="2041" w:type="dxa"/>
            <w:noWrap w:val="0"/>
            <w:vAlign w:val="center"/>
          </w:tcPr>
          <w:p>
            <w:pPr>
              <w:spacing w:line="400" w:lineRule="exact"/>
              <w:jc w:val="center"/>
              <w:rPr>
                <w:rFonts w:ascii="黑体" w:hAnsi="黑体" w:eastAsia="黑体"/>
                <w:bCs/>
                <w:color w:val="auto"/>
                <w:sz w:val="28"/>
                <w:szCs w:val="28"/>
                <w:highlight w:val="none"/>
              </w:rPr>
            </w:pPr>
            <w:r>
              <w:rPr>
                <w:rFonts w:ascii="黑体" w:hAnsi="黑体" w:eastAsia="黑体"/>
                <w:bCs/>
                <w:color w:val="auto"/>
                <w:sz w:val="28"/>
                <w:szCs w:val="28"/>
                <w:highlight w:val="none"/>
              </w:rPr>
              <w:t>县</w:t>
            </w:r>
          </w:p>
        </w:tc>
        <w:tc>
          <w:tcPr>
            <w:tcW w:w="2700" w:type="dxa"/>
            <w:noWrap w:val="0"/>
            <w:vAlign w:val="center"/>
          </w:tcPr>
          <w:p>
            <w:pPr>
              <w:spacing w:line="400" w:lineRule="exact"/>
              <w:jc w:val="center"/>
              <w:rPr>
                <w:rFonts w:ascii="黑体" w:hAnsi="黑体" w:eastAsia="黑体"/>
                <w:bCs/>
                <w:color w:val="auto"/>
                <w:sz w:val="28"/>
                <w:szCs w:val="28"/>
                <w:highlight w:val="none"/>
              </w:rPr>
            </w:pPr>
            <w:r>
              <w:rPr>
                <w:rFonts w:ascii="黑体" w:hAnsi="黑体" w:eastAsia="黑体"/>
                <w:bCs/>
                <w:color w:val="auto"/>
                <w:sz w:val="28"/>
                <w:szCs w:val="28"/>
                <w:highlight w:val="none"/>
              </w:rPr>
              <w:t>考 核 站 点</w:t>
            </w:r>
          </w:p>
        </w:tc>
        <w:tc>
          <w:tcPr>
            <w:tcW w:w="1209" w:type="dxa"/>
            <w:noWrap w:val="0"/>
            <w:vAlign w:val="center"/>
          </w:tcPr>
          <w:p>
            <w:pPr>
              <w:spacing w:line="300" w:lineRule="exact"/>
              <w:jc w:val="center"/>
              <w:rPr>
                <w:rFonts w:hint="eastAsia" w:ascii="Times New Roman" w:hAnsi="Times New Roman" w:eastAsia="仿宋_GB2312"/>
                <w:b/>
                <w:bCs/>
                <w:color w:val="auto"/>
                <w:sz w:val="30"/>
                <w:szCs w:val="30"/>
                <w:highlight w:val="none"/>
              </w:rPr>
            </w:pPr>
            <w:r>
              <w:rPr>
                <w:rFonts w:ascii="Times New Roman" w:hAnsi="Times New Roman" w:eastAsia="仿宋_GB2312"/>
                <w:b/>
                <w:bCs/>
                <w:color w:val="auto"/>
                <w:sz w:val="30"/>
                <w:szCs w:val="30"/>
                <w:highlight w:val="none"/>
              </w:rPr>
              <w:t>PM</w:t>
            </w:r>
            <w:r>
              <w:rPr>
                <w:rFonts w:ascii="Times New Roman" w:hAnsi="Times New Roman" w:eastAsia="仿宋_GB2312"/>
                <w:b/>
                <w:bCs/>
                <w:color w:val="auto"/>
                <w:sz w:val="30"/>
                <w:szCs w:val="30"/>
                <w:highlight w:val="none"/>
                <w:vertAlign w:val="subscript"/>
              </w:rPr>
              <w:t>10</w:t>
            </w:r>
          </w:p>
          <w:p>
            <w:pPr>
              <w:spacing w:line="300" w:lineRule="exact"/>
              <w:jc w:val="center"/>
              <w:rPr>
                <w:rFonts w:ascii="Times New Roman" w:hAnsi="Times New Roman" w:eastAsia="仿宋_GB2312"/>
                <w:b/>
                <w:bCs/>
                <w:color w:val="auto"/>
                <w:sz w:val="30"/>
                <w:szCs w:val="30"/>
                <w:highlight w:val="none"/>
              </w:rPr>
            </w:pPr>
            <w:r>
              <w:rPr>
                <w:rFonts w:hint="eastAsia" w:ascii="Times New Roman" w:hAnsi="Times New Roman"/>
                <w:bCs/>
                <w:color w:val="auto"/>
                <w:szCs w:val="28"/>
                <w:highlight w:val="none"/>
              </w:rPr>
              <w:t>（</w:t>
            </w:r>
            <w:r>
              <w:rPr>
                <w:rFonts w:ascii="Times New Roman" w:hAnsi="Times New Roman"/>
                <w:bCs/>
                <w:color w:val="auto"/>
                <w:szCs w:val="28"/>
                <w:highlight w:val="none"/>
              </w:rPr>
              <w:t>μg/m</w:t>
            </w:r>
            <w:r>
              <w:rPr>
                <w:rFonts w:ascii="Times New Roman" w:hAnsi="Times New Roman"/>
                <w:bCs/>
                <w:color w:val="auto"/>
                <w:szCs w:val="28"/>
                <w:highlight w:val="none"/>
                <w:vertAlign w:val="superscript"/>
              </w:rPr>
              <w:t>3</w:t>
            </w:r>
            <w:r>
              <w:rPr>
                <w:rFonts w:hint="eastAsia" w:ascii="Times New Roman" w:hAnsi="Times New Roman"/>
                <w:bCs/>
                <w:color w:val="auto"/>
                <w:szCs w:val="28"/>
                <w:highlight w:val="none"/>
              </w:rPr>
              <w:t>）</w:t>
            </w:r>
          </w:p>
        </w:tc>
        <w:tc>
          <w:tcPr>
            <w:tcW w:w="1210" w:type="dxa"/>
            <w:noWrap w:val="0"/>
            <w:vAlign w:val="center"/>
          </w:tcPr>
          <w:p>
            <w:pPr>
              <w:spacing w:line="300" w:lineRule="exact"/>
              <w:jc w:val="center"/>
              <w:rPr>
                <w:rFonts w:hint="eastAsia" w:ascii="Times New Roman" w:hAnsi="Times New Roman" w:eastAsia="仿宋_GB2312"/>
                <w:b/>
                <w:bCs/>
                <w:color w:val="auto"/>
                <w:sz w:val="30"/>
                <w:szCs w:val="30"/>
                <w:highlight w:val="none"/>
              </w:rPr>
            </w:pPr>
            <w:r>
              <w:rPr>
                <w:rFonts w:ascii="Times New Roman" w:hAnsi="Times New Roman" w:eastAsia="仿宋_GB2312"/>
                <w:b/>
                <w:bCs/>
                <w:color w:val="auto"/>
                <w:sz w:val="30"/>
                <w:szCs w:val="30"/>
                <w:highlight w:val="none"/>
              </w:rPr>
              <w:t>PM</w:t>
            </w:r>
            <w:r>
              <w:rPr>
                <w:rFonts w:ascii="Times New Roman" w:hAnsi="Times New Roman" w:eastAsia="仿宋_GB2312"/>
                <w:b/>
                <w:bCs/>
                <w:color w:val="auto"/>
                <w:sz w:val="30"/>
                <w:szCs w:val="30"/>
                <w:highlight w:val="none"/>
                <w:vertAlign w:val="subscript"/>
              </w:rPr>
              <w:t>2.5</w:t>
            </w:r>
          </w:p>
          <w:p>
            <w:pPr>
              <w:spacing w:line="300" w:lineRule="exact"/>
              <w:jc w:val="center"/>
              <w:rPr>
                <w:rFonts w:ascii="Times New Roman" w:hAnsi="Times New Roman" w:eastAsia="仿宋_GB2312"/>
                <w:b/>
                <w:bCs/>
                <w:color w:val="auto"/>
                <w:sz w:val="28"/>
                <w:szCs w:val="28"/>
                <w:highlight w:val="none"/>
              </w:rPr>
            </w:pPr>
            <w:r>
              <w:rPr>
                <w:rFonts w:hint="eastAsia" w:ascii="Times New Roman" w:hAnsi="Times New Roman"/>
                <w:bCs/>
                <w:color w:val="auto"/>
                <w:szCs w:val="28"/>
                <w:highlight w:val="none"/>
              </w:rPr>
              <w:t>（</w:t>
            </w:r>
            <w:r>
              <w:rPr>
                <w:rFonts w:ascii="Times New Roman" w:hAnsi="Times New Roman"/>
                <w:bCs/>
                <w:color w:val="auto"/>
                <w:szCs w:val="28"/>
                <w:highlight w:val="none"/>
              </w:rPr>
              <w:t>μg/m</w:t>
            </w:r>
            <w:r>
              <w:rPr>
                <w:rFonts w:ascii="Times New Roman" w:hAnsi="Times New Roman"/>
                <w:bCs/>
                <w:color w:val="auto"/>
                <w:szCs w:val="28"/>
                <w:highlight w:val="none"/>
                <w:vertAlign w:val="superscript"/>
              </w:rPr>
              <w:t>3</w:t>
            </w:r>
            <w:r>
              <w:rPr>
                <w:rFonts w:hint="eastAsia" w:ascii="Times New Roman" w:hAnsi="Times New Roman"/>
                <w:bCs/>
                <w:color w:val="auto"/>
                <w:szCs w:val="28"/>
                <w:highlight w:val="none"/>
              </w:rPr>
              <w:t>）</w:t>
            </w:r>
          </w:p>
        </w:tc>
        <w:tc>
          <w:tcPr>
            <w:tcW w:w="1937" w:type="dxa"/>
            <w:noWrap w:val="0"/>
            <w:vAlign w:val="center"/>
          </w:tcPr>
          <w:p>
            <w:pPr>
              <w:spacing w:line="400" w:lineRule="exact"/>
              <w:jc w:val="center"/>
              <w:rPr>
                <w:rFonts w:ascii="黑体" w:hAnsi="黑体" w:eastAsia="黑体"/>
                <w:bCs/>
                <w:color w:val="auto"/>
                <w:sz w:val="28"/>
                <w:szCs w:val="28"/>
                <w:highlight w:val="none"/>
              </w:rPr>
            </w:pPr>
            <w:r>
              <w:rPr>
                <w:rFonts w:ascii="黑体" w:hAnsi="黑体" w:eastAsia="黑体"/>
                <w:bCs/>
                <w:color w:val="auto"/>
                <w:sz w:val="28"/>
                <w:szCs w:val="28"/>
                <w:highlight w:val="none"/>
              </w:rPr>
              <w:t>优良天数</w:t>
            </w:r>
          </w:p>
          <w:p>
            <w:pPr>
              <w:spacing w:line="400" w:lineRule="exact"/>
              <w:jc w:val="center"/>
              <w:rPr>
                <w:rFonts w:ascii="黑体" w:hAnsi="黑体" w:eastAsia="黑体"/>
                <w:bCs/>
                <w:color w:val="auto"/>
                <w:sz w:val="28"/>
                <w:szCs w:val="28"/>
                <w:highlight w:val="none"/>
              </w:rPr>
            </w:pPr>
            <w:r>
              <w:rPr>
                <w:rFonts w:ascii="黑体" w:hAnsi="黑体" w:eastAsia="黑体"/>
                <w:bCs/>
                <w:color w:val="auto"/>
                <w:sz w:val="28"/>
                <w:szCs w:val="28"/>
                <w:highlight w:val="none"/>
              </w:rPr>
              <w:t>比率</w:t>
            </w:r>
          </w:p>
          <w:p>
            <w:pPr>
              <w:spacing w:line="560" w:lineRule="exact"/>
              <w:jc w:val="center"/>
              <w:rPr>
                <w:rFonts w:ascii="黑体" w:hAnsi="黑体" w:eastAsia="黑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1" w:type="dxa"/>
            <w:noWrap w:val="0"/>
            <w:vAlign w:val="center"/>
          </w:tcPr>
          <w:p>
            <w:pPr>
              <w:spacing w:line="56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柳江区</w:t>
            </w:r>
          </w:p>
        </w:tc>
        <w:tc>
          <w:tcPr>
            <w:tcW w:w="2700" w:type="dxa"/>
            <w:noWrap w:val="0"/>
            <w:vAlign w:val="center"/>
          </w:tcPr>
          <w:p>
            <w:pPr>
              <w:spacing w:line="56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柳江区实验高中</w:t>
            </w:r>
          </w:p>
        </w:tc>
        <w:tc>
          <w:tcPr>
            <w:tcW w:w="1209"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54</w:t>
            </w:r>
          </w:p>
        </w:tc>
        <w:tc>
          <w:tcPr>
            <w:tcW w:w="1210"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31.0</w:t>
            </w:r>
          </w:p>
        </w:tc>
        <w:tc>
          <w:tcPr>
            <w:tcW w:w="1937" w:type="dxa"/>
            <w:noWrap w:val="0"/>
            <w:vAlign w:val="top"/>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1" w:type="dxa"/>
            <w:noWrap w:val="0"/>
            <w:vAlign w:val="center"/>
          </w:tcPr>
          <w:p>
            <w:pPr>
              <w:spacing w:line="56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柳城县</w:t>
            </w:r>
          </w:p>
        </w:tc>
        <w:tc>
          <w:tcPr>
            <w:tcW w:w="2700" w:type="dxa"/>
            <w:noWrap w:val="0"/>
            <w:vAlign w:val="center"/>
          </w:tcPr>
          <w:p>
            <w:pPr>
              <w:spacing w:line="56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柳城县中学</w:t>
            </w:r>
          </w:p>
        </w:tc>
        <w:tc>
          <w:tcPr>
            <w:tcW w:w="1209"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46.0</w:t>
            </w:r>
          </w:p>
        </w:tc>
        <w:tc>
          <w:tcPr>
            <w:tcW w:w="1210"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31.0</w:t>
            </w:r>
          </w:p>
        </w:tc>
        <w:tc>
          <w:tcPr>
            <w:tcW w:w="1937" w:type="dxa"/>
            <w:noWrap w:val="0"/>
            <w:vAlign w:val="top"/>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1" w:type="dxa"/>
            <w:noWrap w:val="0"/>
            <w:vAlign w:val="center"/>
          </w:tcPr>
          <w:p>
            <w:pPr>
              <w:spacing w:line="56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鹿寨县</w:t>
            </w:r>
          </w:p>
        </w:tc>
        <w:tc>
          <w:tcPr>
            <w:tcW w:w="2700" w:type="dxa"/>
            <w:noWrap w:val="0"/>
            <w:vAlign w:val="center"/>
          </w:tcPr>
          <w:p>
            <w:pPr>
              <w:spacing w:line="560" w:lineRule="exact"/>
              <w:jc w:val="center"/>
              <w:rPr>
                <w:rFonts w:ascii="Times New Roman" w:hAnsi="Times New Roman" w:eastAsia="仿宋_GB2312"/>
                <w:color w:val="auto"/>
                <w:spacing w:val="-4"/>
                <w:sz w:val="28"/>
                <w:szCs w:val="28"/>
                <w:highlight w:val="none"/>
              </w:rPr>
            </w:pPr>
            <w:r>
              <w:rPr>
                <w:rFonts w:ascii="Times New Roman" w:hAnsi="Times New Roman" w:eastAsia="仿宋_GB2312"/>
                <w:color w:val="auto"/>
                <w:spacing w:val="-4"/>
                <w:sz w:val="28"/>
                <w:szCs w:val="28"/>
                <w:highlight w:val="none"/>
              </w:rPr>
              <w:t>鹿寨青少年活动中心</w:t>
            </w:r>
          </w:p>
        </w:tc>
        <w:tc>
          <w:tcPr>
            <w:tcW w:w="1209"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47.0</w:t>
            </w:r>
          </w:p>
        </w:tc>
        <w:tc>
          <w:tcPr>
            <w:tcW w:w="1210"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29.0</w:t>
            </w:r>
          </w:p>
        </w:tc>
        <w:tc>
          <w:tcPr>
            <w:tcW w:w="1937" w:type="dxa"/>
            <w:noWrap w:val="0"/>
            <w:vAlign w:val="top"/>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1" w:type="dxa"/>
            <w:noWrap w:val="0"/>
            <w:vAlign w:val="center"/>
          </w:tcPr>
          <w:p>
            <w:pPr>
              <w:spacing w:line="56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融安县</w:t>
            </w:r>
          </w:p>
        </w:tc>
        <w:tc>
          <w:tcPr>
            <w:tcW w:w="2700" w:type="dxa"/>
            <w:noWrap w:val="0"/>
            <w:vAlign w:val="center"/>
          </w:tcPr>
          <w:p>
            <w:pPr>
              <w:spacing w:line="560" w:lineRule="exact"/>
              <w:jc w:val="center"/>
              <w:rPr>
                <w:rFonts w:hint="eastAsia" w:ascii="Times New Roman" w:hAnsi="Times New Roman" w:eastAsia="仿宋_GB2312"/>
                <w:color w:val="auto"/>
                <w:sz w:val="28"/>
                <w:szCs w:val="28"/>
                <w:highlight w:val="none"/>
                <w:lang w:eastAsia="zh-CN"/>
              </w:rPr>
            </w:pPr>
            <w:r>
              <w:rPr>
                <w:rFonts w:ascii="Times New Roman" w:hAnsi="Times New Roman" w:eastAsia="仿宋_GB2312"/>
                <w:color w:val="auto"/>
                <w:sz w:val="28"/>
                <w:szCs w:val="28"/>
                <w:highlight w:val="none"/>
              </w:rPr>
              <w:t>融安县</w:t>
            </w:r>
            <w:r>
              <w:rPr>
                <w:rFonts w:hint="eastAsia" w:ascii="Times New Roman" w:hAnsi="Times New Roman" w:eastAsia="仿宋_GB2312"/>
                <w:color w:val="auto"/>
                <w:sz w:val="28"/>
                <w:szCs w:val="28"/>
                <w:highlight w:val="none"/>
                <w:lang w:eastAsia="zh-CN"/>
              </w:rPr>
              <w:t>初级中学</w:t>
            </w:r>
          </w:p>
        </w:tc>
        <w:tc>
          <w:tcPr>
            <w:tcW w:w="1209"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47.0</w:t>
            </w:r>
          </w:p>
        </w:tc>
        <w:tc>
          <w:tcPr>
            <w:tcW w:w="1210"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31.0</w:t>
            </w:r>
          </w:p>
        </w:tc>
        <w:tc>
          <w:tcPr>
            <w:tcW w:w="1937" w:type="dxa"/>
            <w:noWrap w:val="0"/>
            <w:vAlign w:val="top"/>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1" w:type="dxa"/>
            <w:noWrap w:val="0"/>
            <w:vAlign w:val="center"/>
          </w:tcPr>
          <w:p>
            <w:pPr>
              <w:spacing w:line="560" w:lineRule="exact"/>
              <w:jc w:val="center"/>
              <w:rPr>
                <w:rFonts w:ascii="Times New Roman" w:hAnsi="Times New Roman" w:eastAsia="仿宋_GB2312"/>
                <w:color w:val="auto"/>
                <w:spacing w:val="-8"/>
                <w:sz w:val="28"/>
                <w:szCs w:val="28"/>
                <w:highlight w:val="none"/>
              </w:rPr>
            </w:pPr>
            <w:r>
              <w:rPr>
                <w:rFonts w:ascii="Times New Roman" w:hAnsi="Times New Roman" w:eastAsia="仿宋_GB2312"/>
                <w:color w:val="auto"/>
                <w:spacing w:val="-8"/>
                <w:sz w:val="28"/>
                <w:szCs w:val="28"/>
                <w:highlight w:val="none"/>
              </w:rPr>
              <w:t>融水县</w:t>
            </w:r>
          </w:p>
        </w:tc>
        <w:tc>
          <w:tcPr>
            <w:tcW w:w="2700" w:type="dxa"/>
            <w:noWrap w:val="0"/>
            <w:vAlign w:val="center"/>
          </w:tcPr>
          <w:p>
            <w:pPr>
              <w:spacing w:line="56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融水县民族卫校</w:t>
            </w:r>
          </w:p>
        </w:tc>
        <w:tc>
          <w:tcPr>
            <w:tcW w:w="1209"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46.0</w:t>
            </w:r>
          </w:p>
        </w:tc>
        <w:tc>
          <w:tcPr>
            <w:tcW w:w="1210"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29.5</w:t>
            </w:r>
          </w:p>
        </w:tc>
        <w:tc>
          <w:tcPr>
            <w:tcW w:w="1937" w:type="dxa"/>
            <w:noWrap w:val="0"/>
            <w:vAlign w:val="top"/>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1" w:type="dxa"/>
            <w:noWrap w:val="0"/>
            <w:vAlign w:val="center"/>
          </w:tcPr>
          <w:p>
            <w:pPr>
              <w:spacing w:line="560" w:lineRule="exact"/>
              <w:jc w:val="center"/>
              <w:rPr>
                <w:rFonts w:ascii="Times New Roman" w:hAnsi="Times New Roman" w:eastAsia="仿宋_GB2312"/>
                <w:color w:val="auto"/>
                <w:spacing w:val="-8"/>
                <w:sz w:val="28"/>
                <w:szCs w:val="28"/>
                <w:highlight w:val="none"/>
              </w:rPr>
            </w:pPr>
            <w:r>
              <w:rPr>
                <w:rFonts w:ascii="Times New Roman" w:hAnsi="Times New Roman" w:eastAsia="仿宋_GB2312"/>
                <w:color w:val="auto"/>
                <w:spacing w:val="-8"/>
                <w:sz w:val="28"/>
                <w:szCs w:val="28"/>
                <w:highlight w:val="none"/>
              </w:rPr>
              <w:t>三江县</w:t>
            </w:r>
          </w:p>
        </w:tc>
        <w:tc>
          <w:tcPr>
            <w:tcW w:w="2700" w:type="dxa"/>
            <w:noWrap w:val="0"/>
            <w:vAlign w:val="center"/>
          </w:tcPr>
          <w:p>
            <w:pPr>
              <w:spacing w:line="560" w:lineRule="exact"/>
              <w:jc w:val="center"/>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三江县古宜镇中学</w:t>
            </w:r>
          </w:p>
        </w:tc>
        <w:tc>
          <w:tcPr>
            <w:tcW w:w="1209"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42.0</w:t>
            </w:r>
          </w:p>
        </w:tc>
        <w:tc>
          <w:tcPr>
            <w:tcW w:w="1210"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27.0</w:t>
            </w:r>
          </w:p>
        </w:tc>
        <w:tc>
          <w:tcPr>
            <w:tcW w:w="1937" w:type="dxa"/>
            <w:noWrap w:val="0"/>
            <w:vAlign w:val="top"/>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41" w:type="dxa"/>
            <w:gridSpan w:val="2"/>
            <w:noWrap w:val="0"/>
            <w:vAlign w:val="center"/>
          </w:tcPr>
          <w:p>
            <w:pPr>
              <w:spacing w:line="560" w:lineRule="exact"/>
              <w:jc w:val="center"/>
              <w:rPr>
                <w:rFonts w:ascii="Times New Roman" w:hAnsi="Times New Roman" w:eastAsia="仿宋_GB2312"/>
                <w:color w:val="auto"/>
                <w:sz w:val="28"/>
                <w:szCs w:val="28"/>
                <w:highlight w:val="none"/>
              </w:rPr>
            </w:pPr>
            <w:r>
              <w:rPr>
                <w:rFonts w:ascii="Times New Roman" w:hAnsi="Times New Roman" w:eastAsia="仿宋_GB2312"/>
                <w:b/>
                <w:color w:val="auto"/>
                <w:spacing w:val="-8"/>
                <w:sz w:val="28"/>
                <w:szCs w:val="28"/>
                <w:highlight w:val="none"/>
              </w:rPr>
              <w:t>市区参考值</w:t>
            </w:r>
          </w:p>
        </w:tc>
        <w:tc>
          <w:tcPr>
            <w:tcW w:w="1209"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48.4</w:t>
            </w:r>
          </w:p>
        </w:tc>
        <w:tc>
          <w:tcPr>
            <w:tcW w:w="1210" w:type="dxa"/>
            <w:noWrap w:val="0"/>
            <w:vAlign w:val="center"/>
          </w:tcPr>
          <w:p>
            <w:pPr>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30.2</w:t>
            </w:r>
          </w:p>
        </w:tc>
        <w:tc>
          <w:tcPr>
            <w:tcW w:w="1937" w:type="dxa"/>
            <w:noWrap w:val="0"/>
            <w:vAlign w:val="top"/>
          </w:tcPr>
          <w:p>
            <w:pPr>
              <w:spacing w:line="560" w:lineRule="exact"/>
              <w:jc w:val="center"/>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93.4</w:t>
            </w:r>
            <w:r>
              <w:rPr>
                <w:rFonts w:hint="default" w:ascii="Times New Roman" w:hAnsi="Times New Roman" w:eastAsia="仿宋_GB2312" w:cs="Times New Roman"/>
                <w:color w:val="auto"/>
                <w:sz w:val="28"/>
                <w:szCs w:val="28"/>
                <w:highlight w:val="none"/>
              </w:rPr>
              <w:t>%</w:t>
            </w:r>
          </w:p>
        </w:tc>
      </w:tr>
    </w:tbl>
    <w:p>
      <w:pPr>
        <w:pStyle w:val="5"/>
        <w:keepNext w:val="0"/>
        <w:keepLines w:val="0"/>
        <w:pageBreakBefore w:val="0"/>
        <w:widowControl w:val="0"/>
        <w:kinsoku/>
        <w:wordWrap/>
        <w:overflowPunct/>
        <w:topLinePunct w:val="0"/>
        <w:autoSpaceDE/>
        <w:autoSpaceDN/>
        <w:bidi w:val="0"/>
        <w:adjustRightInd w:val="0"/>
        <w:snapToGrid w:val="0"/>
        <w:spacing w:line="20" w:lineRule="exact"/>
        <w:textAlignment w:val="auto"/>
        <w:rPr>
          <w:color w:val="auto"/>
          <w:highlight w:val="none"/>
        </w:rPr>
      </w:pPr>
    </w:p>
    <w:p>
      <w:pPr>
        <w:pStyle w:val="5"/>
        <w:keepNext w:val="0"/>
        <w:keepLines w:val="0"/>
        <w:pageBreakBefore w:val="0"/>
        <w:widowControl w:val="0"/>
        <w:kinsoku/>
        <w:wordWrap/>
        <w:overflowPunct/>
        <w:topLinePunct w:val="0"/>
        <w:autoSpaceDE/>
        <w:autoSpaceDN/>
        <w:bidi w:val="0"/>
        <w:adjustRightInd w:val="0"/>
        <w:snapToGrid w:val="0"/>
        <w:spacing w:line="20" w:lineRule="exact"/>
        <w:textAlignment w:val="auto"/>
        <w:rPr>
          <w:color w:val="auto"/>
          <w:highlight w:val="none"/>
        </w:rPr>
        <w:sectPr>
          <w:pgSz w:w="11906" w:h="16838"/>
          <w:pgMar w:top="1531" w:right="1361" w:bottom="1701" w:left="1474" w:header="851" w:footer="992" w:gutter="0"/>
          <w:cols w:space="720" w:num="1"/>
          <w:docGrid w:type="lines" w:linePitch="312" w:charSpace="0"/>
        </w:sectPr>
      </w:pPr>
    </w:p>
    <w:p>
      <w:pPr>
        <w:pStyle w:val="5"/>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eastAsia="zh-CN"/>
        </w:rPr>
        <w:t>附件</w:t>
      </w:r>
      <w:r>
        <w:rPr>
          <w:rFonts w:hint="eastAsia" w:ascii="黑体" w:hAnsi="黑体" w:eastAsia="黑体" w:cs="黑体"/>
          <w:color w:val="auto"/>
          <w:highlight w:val="none"/>
          <w:lang w:val="en-US" w:eastAsia="zh-CN"/>
        </w:rPr>
        <w:t>2</w:t>
      </w:r>
    </w:p>
    <w:p>
      <w:pPr>
        <w:pStyle w:val="5"/>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after="313" w:afterLines="10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2024年大气污染防治重点工程项目清单</w:t>
      </w:r>
    </w:p>
    <w:tbl>
      <w:tblPr>
        <w:tblStyle w:val="10"/>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414"/>
        <w:gridCol w:w="2443"/>
        <w:gridCol w:w="1618"/>
        <w:gridCol w:w="2250"/>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883" w:type="dxa"/>
            <w:noWrap w:val="0"/>
            <w:vAlign w:val="center"/>
          </w:tcPr>
          <w:p>
            <w:pPr>
              <w:keepNext w:val="0"/>
              <w:keepLines w:val="0"/>
              <w:pageBreakBefore w:val="0"/>
              <w:kinsoku/>
              <w:wordWrap/>
              <w:overflowPunct/>
              <w:topLinePunct w:val="0"/>
              <w:autoSpaceDE/>
              <w:autoSpaceDN/>
              <w:bidi w:val="0"/>
              <w:spacing w:line="400" w:lineRule="exact"/>
              <w:jc w:val="center"/>
              <w:rPr>
                <w:rFonts w:hint="default" w:ascii="黑体" w:hAnsi="黑体" w:eastAsia="黑体"/>
                <w:bCs/>
                <w:color w:val="auto"/>
                <w:sz w:val="28"/>
                <w:szCs w:val="28"/>
                <w:highlight w:val="none"/>
                <w:lang w:val="en-US" w:eastAsia="zh-CN"/>
              </w:rPr>
            </w:pPr>
            <w:r>
              <w:rPr>
                <w:rFonts w:hint="eastAsia" w:ascii="黑体" w:hAnsi="黑体" w:eastAsia="黑体"/>
                <w:bCs/>
                <w:color w:val="auto"/>
                <w:sz w:val="28"/>
                <w:szCs w:val="28"/>
                <w:highlight w:val="none"/>
                <w:lang w:val="en-US" w:eastAsia="zh-CN"/>
              </w:rPr>
              <w:t>序号</w:t>
            </w:r>
          </w:p>
        </w:tc>
        <w:tc>
          <w:tcPr>
            <w:tcW w:w="1414" w:type="dxa"/>
            <w:noWrap w:val="0"/>
            <w:vAlign w:val="center"/>
          </w:tcPr>
          <w:p>
            <w:pPr>
              <w:keepNext w:val="0"/>
              <w:keepLines w:val="0"/>
              <w:pageBreakBefore w:val="0"/>
              <w:kinsoku/>
              <w:wordWrap/>
              <w:overflowPunct/>
              <w:topLinePunct w:val="0"/>
              <w:autoSpaceDE/>
              <w:autoSpaceDN/>
              <w:bidi w:val="0"/>
              <w:spacing w:line="400" w:lineRule="exact"/>
              <w:jc w:val="center"/>
              <w:rPr>
                <w:rFonts w:hint="default" w:ascii="黑体" w:hAnsi="黑体" w:eastAsia="黑体"/>
                <w:bCs/>
                <w:color w:val="auto"/>
                <w:sz w:val="28"/>
                <w:szCs w:val="28"/>
                <w:highlight w:val="none"/>
                <w:lang w:val="en-US" w:eastAsia="zh-CN"/>
              </w:rPr>
            </w:pPr>
            <w:r>
              <w:rPr>
                <w:rFonts w:hint="default" w:ascii="黑体" w:hAnsi="黑体" w:eastAsia="黑体"/>
                <w:bCs/>
                <w:color w:val="auto"/>
                <w:sz w:val="28"/>
                <w:szCs w:val="28"/>
                <w:highlight w:val="none"/>
                <w:lang w:val="en-US" w:eastAsia="zh-CN"/>
              </w:rPr>
              <w:t>所属辖区</w:t>
            </w:r>
          </w:p>
        </w:tc>
        <w:tc>
          <w:tcPr>
            <w:tcW w:w="2443" w:type="dxa"/>
            <w:noWrap w:val="0"/>
            <w:vAlign w:val="center"/>
          </w:tcPr>
          <w:p>
            <w:pPr>
              <w:keepNext w:val="0"/>
              <w:keepLines w:val="0"/>
              <w:pageBreakBefore w:val="0"/>
              <w:kinsoku/>
              <w:wordWrap/>
              <w:overflowPunct/>
              <w:topLinePunct w:val="0"/>
              <w:autoSpaceDE/>
              <w:autoSpaceDN/>
              <w:bidi w:val="0"/>
              <w:spacing w:line="400" w:lineRule="exact"/>
              <w:jc w:val="center"/>
              <w:rPr>
                <w:rFonts w:hint="default" w:ascii="黑体" w:hAnsi="黑体" w:eastAsia="黑体"/>
                <w:bCs/>
                <w:color w:val="auto"/>
                <w:sz w:val="28"/>
                <w:szCs w:val="28"/>
                <w:highlight w:val="none"/>
                <w:lang w:val="en-US" w:eastAsia="zh-CN"/>
              </w:rPr>
            </w:pPr>
            <w:r>
              <w:rPr>
                <w:rFonts w:hint="default" w:ascii="黑体" w:hAnsi="黑体" w:eastAsia="黑体"/>
                <w:bCs/>
                <w:color w:val="auto"/>
                <w:sz w:val="28"/>
                <w:szCs w:val="28"/>
                <w:highlight w:val="none"/>
                <w:lang w:val="en-US" w:eastAsia="zh-CN"/>
              </w:rPr>
              <w:t>项目主体</w:t>
            </w:r>
          </w:p>
        </w:tc>
        <w:tc>
          <w:tcPr>
            <w:tcW w:w="1618" w:type="dxa"/>
            <w:noWrap w:val="0"/>
            <w:vAlign w:val="center"/>
          </w:tcPr>
          <w:p>
            <w:pPr>
              <w:keepNext w:val="0"/>
              <w:keepLines w:val="0"/>
              <w:pageBreakBefore w:val="0"/>
              <w:kinsoku/>
              <w:wordWrap/>
              <w:overflowPunct/>
              <w:topLinePunct w:val="0"/>
              <w:autoSpaceDE/>
              <w:autoSpaceDN/>
              <w:bidi w:val="0"/>
              <w:spacing w:line="400" w:lineRule="exact"/>
              <w:jc w:val="center"/>
              <w:rPr>
                <w:rFonts w:hint="default" w:ascii="黑体" w:hAnsi="黑体" w:eastAsia="黑体"/>
                <w:bCs/>
                <w:color w:val="auto"/>
                <w:sz w:val="28"/>
                <w:szCs w:val="28"/>
                <w:highlight w:val="none"/>
                <w:lang w:val="en-US" w:eastAsia="zh-CN"/>
              </w:rPr>
            </w:pPr>
            <w:r>
              <w:rPr>
                <w:rFonts w:hint="default" w:ascii="黑体" w:hAnsi="黑体" w:eastAsia="黑体"/>
                <w:bCs/>
                <w:color w:val="auto"/>
                <w:sz w:val="28"/>
                <w:szCs w:val="28"/>
                <w:highlight w:val="none"/>
                <w:lang w:val="en-US" w:eastAsia="zh-CN"/>
              </w:rPr>
              <w:t>项目名称</w:t>
            </w:r>
          </w:p>
        </w:tc>
        <w:tc>
          <w:tcPr>
            <w:tcW w:w="2250" w:type="dxa"/>
            <w:noWrap w:val="0"/>
            <w:vAlign w:val="center"/>
          </w:tcPr>
          <w:p>
            <w:pPr>
              <w:keepNext w:val="0"/>
              <w:keepLines w:val="0"/>
              <w:pageBreakBefore w:val="0"/>
              <w:kinsoku/>
              <w:wordWrap/>
              <w:overflowPunct/>
              <w:topLinePunct w:val="0"/>
              <w:autoSpaceDE/>
              <w:autoSpaceDN/>
              <w:bidi w:val="0"/>
              <w:spacing w:line="400" w:lineRule="exact"/>
              <w:jc w:val="center"/>
              <w:rPr>
                <w:rFonts w:hint="default" w:ascii="黑体" w:hAnsi="黑体" w:eastAsia="黑体"/>
                <w:bCs/>
                <w:color w:val="auto"/>
                <w:sz w:val="28"/>
                <w:szCs w:val="28"/>
                <w:highlight w:val="none"/>
                <w:lang w:val="en-US" w:eastAsia="zh-CN"/>
              </w:rPr>
            </w:pPr>
            <w:r>
              <w:rPr>
                <w:rFonts w:hint="eastAsia" w:ascii="黑体" w:hAnsi="黑体" w:eastAsia="黑体"/>
                <w:bCs/>
                <w:color w:val="auto"/>
                <w:sz w:val="28"/>
                <w:szCs w:val="28"/>
                <w:highlight w:val="none"/>
                <w:lang w:val="en-US" w:eastAsia="zh-CN"/>
              </w:rPr>
              <w:t>项目类型</w:t>
            </w:r>
          </w:p>
        </w:tc>
        <w:tc>
          <w:tcPr>
            <w:tcW w:w="1565" w:type="dxa"/>
            <w:noWrap w:val="0"/>
            <w:vAlign w:val="center"/>
          </w:tcPr>
          <w:p>
            <w:pPr>
              <w:keepNext w:val="0"/>
              <w:keepLines w:val="0"/>
              <w:pageBreakBefore w:val="0"/>
              <w:kinsoku/>
              <w:wordWrap/>
              <w:overflowPunct/>
              <w:topLinePunct w:val="0"/>
              <w:autoSpaceDE/>
              <w:autoSpaceDN/>
              <w:bidi w:val="0"/>
              <w:spacing w:line="400" w:lineRule="exact"/>
              <w:jc w:val="center"/>
              <w:rPr>
                <w:rFonts w:hint="eastAsia" w:ascii="黑体" w:hAnsi="黑体" w:eastAsia="黑体"/>
                <w:bCs/>
                <w:color w:val="auto"/>
                <w:sz w:val="28"/>
                <w:szCs w:val="28"/>
                <w:highlight w:val="none"/>
                <w:lang w:val="en-US" w:eastAsia="zh-CN"/>
              </w:rPr>
            </w:pPr>
            <w:r>
              <w:rPr>
                <w:rFonts w:hint="eastAsia" w:ascii="黑体" w:hAnsi="黑体" w:eastAsia="黑体"/>
                <w:bCs/>
                <w:color w:val="auto"/>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83" w:type="dxa"/>
            <w:noWrap w:val="0"/>
            <w:vAlign w:val="center"/>
          </w:tcPr>
          <w:p>
            <w:pPr>
              <w:pStyle w:val="5"/>
              <w:keepNext w:val="0"/>
              <w:keepLines w:val="0"/>
              <w:pageBreakBefore w:val="0"/>
              <w:kinsoku/>
              <w:wordWrap/>
              <w:overflowPunct/>
              <w:topLinePunct w:val="0"/>
              <w:autoSpaceDE/>
              <w:autoSpaceDN/>
              <w:bidi w:val="0"/>
              <w:spacing w:line="320" w:lineRule="exact"/>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1</w:t>
            </w:r>
          </w:p>
        </w:tc>
        <w:tc>
          <w:tcPr>
            <w:tcW w:w="1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sz w:val="24"/>
                <w:szCs w:val="24"/>
                <w:highlight w:val="none"/>
                <w:u w:val="none"/>
                <w:lang w:val="en-US" w:eastAsia="zh-CN"/>
              </w:rPr>
              <w:t>融水县</w:t>
            </w:r>
          </w:p>
        </w:tc>
        <w:tc>
          <w:tcPr>
            <w:tcW w:w="24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融水县融东页岩砖业有限公司</w:t>
            </w:r>
          </w:p>
        </w:tc>
        <w:tc>
          <w:tcPr>
            <w:tcW w:w="16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sz w:val="24"/>
                <w:szCs w:val="24"/>
                <w:highlight w:val="none"/>
                <w:u w:val="none"/>
                <w:lang w:val="en-US" w:eastAsia="zh-CN"/>
              </w:rPr>
              <w:t>关停</w:t>
            </w:r>
          </w:p>
        </w:tc>
        <w:tc>
          <w:tcPr>
            <w:tcW w:w="2250" w:type="dxa"/>
            <w:noWrap w:val="0"/>
            <w:vAlign w:val="center"/>
          </w:tcPr>
          <w:p>
            <w:pPr>
              <w:pStyle w:val="5"/>
              <w:keepNext w:val="0"/>
              <w:keepLines w:val="0"/>
              <w:pageBreakBefore w:val="0"/>
              <w:kinsoku/>
              <w:wordWrap/>
              <w:overflowPunct/>
              <w:topLinePunct w:val="0"/>
              <w:autoSpaceDE/>
              <w:autoSpaceDN/>
              <w:bidi w:val="0"/>
              <w:spacing w:line="320" w:lineRule="exact"/>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氮氧化物减排</w:t>
            </w:r>
          </w:p>
        </w:tc>
        <w:tc>
          <w:tcPr>
            <w:tcW w:w="1565" w:type="dxa"/>
            <w:noWrap w:val="0"/>
            <w:vAlign w:val="center"/>
          </w:tcPr>
          <w:p>
            <w:pPr>
              <w:pStyle w:val="5"/>
              <w:keepNext w:val="0"/>
              <w:keepLines w:val="0"/>
              <w:pageBreakBefore w:val="0"/>
              <w:kinsoku/>
              <w:wordWrap/>
              <w:overflowPunct/>
              <w:topLinePunct w:val="0"/>
              <w:autoSpaceDE/>
              <w:autoSpaceDN/>
              <w:bidi w:val="0"/>
              <w:spacing w:line="320" w:lineRule="exact"/>
              <w:jc w:val="center"/>
              <w:rPr>
                <w:rFonts w:hint="default" w:ascii="Times New Roman" w:hAnsi="Times New Roman" w:eastAsia="仿宋_GB2312" w:cs="Times New Roman"/>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83" w:type="dxa"/>
            <w:noWrap w:val="0"/>
            <w:vAlign w:val="center"/>
          </w:tcPr>
          <w:p>
            <w:pPr>
              <w:pStyle w:val="5"/>
              <w:keepNext w:val="0"/>
              <w:keepLines w:val="0"/>
              <w:pageBreakBefore w:val="0"/>
              <w:kinsoku/>
              <w:wordWrap/>
              <w:overflowPunct/>
              <w:topLinePunct w:val="0"/>
              <w:autoSpaceDE/>
              <w:autoSpaceDN/>
              <w:bidi w:val="0"/>
              <w:spacing w:line="320" w:lineRule="exact"/>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2</w:t>
            </w:r>
          </w:p>
        </w:tc>
        <w:tc>
          <w:tcPr>
            <w:tcW w:w="1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sz w:val="24"/>
                <w:szCs w:val="24"/>
                <w:highlight w:val="none"/>
                <w:u w:val="none"/>
                <w:lang w:val="en-US" w:eastAsia="zh-CN"/>
              </w:rPr>
              <w:t>三江县</w:t>
            </w:r>
          </w:p>
        </w:tc>
        <w:tc>
          <w:tcPr>
            <w:tcW w:w="24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sz w:val="24"/>
                <w:szCs w:val="24"/>
                <w:highlight w:val="none"/>
                <w:u w:val="none"/>
                <w:lang w:val="en-US" w:eastAsia="zh-CN"/>
              </w:rPr>
              <w:t>三江县金亿页岩砖厂</w:t>
            </w:r>
          </w:p>
        </w:tc>
        <w:tc>
          <w:tcPr>
            <w:tcW w:w="16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sz w:val="24"/>
                <w:szCs w:val="24"/>
                <w:highlight w:val="none"/>
                <w:u w:val="none"/>
                <w:lang w:val="en-US" w:eastAsia="zh-CN"/>
              </w:rPr>
              <w:t>关停</w:t>
            </w:r>
          </w:p>
        </w:tc>
        <w:tc>
          <w:tcPr>
            <w:tcW w:w="2250" w:type="dxa"/>
            <w:noWrap w:val="0"/>
            <w:vAlign w:val="center"/>
          </w:tcPr>
          <w:p>
            <w:pPr>
              <w:pStyle w:val="5"/>
              <w:keepNext w:val="0"/>
              <w:keepLines w:val="0"/>
              <w:pageBreakBefore w:val="0"/>
              <w:kinsoku/>
              <w:wordWrap/>
              <w:overflowPunct/>
              <w:topLinePunct w:val="0"/>
              <w:autoSpaceDE/>
              <w:autoSpaceDN/>
              <w:bidi w:val="0"/>
              <w:spacing w:line="320" w:lineRule="exact"/>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氮氧化物减排</w:t>
            </w:r>
          </w:p>
          <w:p>
            <w:pPr>
              <w:pStyle w:val="5"/>
              <w:keepNext w:val="0"/>
              <w:keepLines w:val="0"/>
              <w:pageBreakBefore w:val="0"/>
              <w:kinsoku/>
              <w:wordWrap/>
              <w:overflowPunct/>
              <w:topLinePunct w:val="0"/>
              <w:autoSpaceDE/>
              <w:autoSpaceDN/>
              <w:bidi w:val="0"/>
              <w:spacing w:line="320" w:lineRule="exact"/>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烟粉尘污染治理</w:t>
            </w:r>
          </w:p>
        </w:tc>
        <w:tc>
          <w:tcPr>
            <w:tcW w:w="1565" w:type="dxa"/>
            <w:noWrap w:val="0"/>
            <w:vAlign w:val="center"/>
          </w:tcPr>
          <w:p>
            <w:pPr>
              <w:pStyle w:val="5"/>
              <w:keepNext w:val="0"/>
              <w:keepLines w:val="0"/>
              <w:pageBreakBefore w:val="0"/>
              <w:kinsoku/>
              <w:wordWrap/>
              <w:overflowPunct/>
              <w:topLinePunct w:val="0"/>
              <w:autoSpaceDE/>
              <w:autoSpaceDN/>
              <w:bidi w:val="0"/>
              <w:spacing w:line="320" w:lineRule="exact"/>
              <w:jc w:val="center"/>
              <w:rPr>
                <w:rFonts w:hint="default" w:ascii="Times New Roman" w:hAnsi="Times New Roman" w:eastAsia="仿宋_GB2312" w:cs="Times New Roman"/>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883" w:type="dxa"/>
            <w:noWrap w:val="0"/>
            <w:vAlign w:val="center"/>
          </w:tcPr>
          <w:p>
            <w:pPr>
              <w:pStyle w:val="5"/>
              <w:keepNext w:val="0"/>
              <w:keepLines w:val="0"/>
              <w:pageBreakBefore w:val="0"/>
              <w:kinsoku/>
              <w:wordWrap/>
              <w:overflowPunct/>
              <w:topLinePunct w:val="0"/>
              <w:autoSpaceDE/>
              <w:autoSpaceDN/>
              <w:bidi w:val="0"/>
              <w:spacing w:line="320" w:lineRule="exact"/>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3</w:t>
            </w:r>
          </w:p>
        </w:tc>
        <w:tc>
          <w:tcPr>
            <w:tcW w:w="1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柳江区</w:t>
            </w:r>
          </w:p>
        </w:tc>
        <w:tc>
          <w:tcPr>
            <w:tcW w:w="24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柳州地区水泥厂</w:t>
            </w:r>
          </w:p>
        </w:tc>
        <w:tc>
          <w:tcPr>
            <w:tcW w:w="16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柳州地区水泥厂粉磨站超低排放改造</w:t>
            </w:r>
          </w:p>
        </w:tc>
        <w:tc>
          <w:tcPr>
            <w:tcW w:w="22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烟粉尘污染治理</w:t>
            </w:r>
          </w:p>
        </w:tc>
        <w:tc>
          <w:tcPr>
            <w:tcW w:w="15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83" w:type="dxa"/>
            <w:noWrap w:val="0"/>
            <w:vAlign w:val="center"/>
          </w:tcPr>
          <w:p>
            <w:pPr>
              <w:pStyle w:val="5"/>
              <w:keepNext w:val="0"/>
              <w:keepLines w:val="0"/>
              <w:pageBreakBefore w:val="0"/>
              <w:kinsoku/>
              <w:wordWrap/>
              <w:overflowPunct/>
              <w:topLinePunct w:val="0"/>
              <w:autoSpaceDE/>
              <w:autoSpaceDN/>
              <w:bidi w:val="0"/>
              <w:spacing w:line="320" w:lineRule="exact"/>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4</w:t>
            </w:r>
          </w:p>
        </w:tc>
        <w:tc>
          <w:tcPr>
            <w:tcW w:w="1414"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柳江区</w:t>
            </w:r>
          </w:p>
        </w:tc>
        <w:tc>
          <w:tcPr>
            <w:tcW w:w="2443"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lang w:val="en-US" w:eastAsia="zh-CN"/>
              </w:rPr>
              <w:t>柳州市特一工程机械有限公司</w:t>
            </w:r>
          </w:p>
        </w:tc>
        <w:tc>
          <w:tcPr>
            <w:tcW w:w="1618"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VOCs处理设备升级改造项目</w:t>
            </w:r>
          </w:p>
        </w:tc>
        <w:tc>
          <w:tcPr>
            <w:tcW w:w="2250"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挥发性有机物治理</w:t>
            </w:r>
          </w:p>
        </w:tc>
        <w:tc>
          <w:tcPr>
            <w:tcW w:w="156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83" w:type="dxa"/>
            <w:noWrap w:val="0"/>
            <w:vAlign w:val="center"/>
          </w:tcPr>
          <w:p>
            <w:pPr>
              <w:pStyle w:val="5"/>
              <w:keepNext w:val="0"/>
              <w:keepLines w:val="0"/>
              <w:pageBreakBefore w:val="0"/>
              <w:kinsoku/>
              <w:wordWrap/>
              <w:overflowPunct/>
              <w:topLinePunct w:val="0"/>
              <w:autoSpaceDE/>
              <w:autoSpaceDN/>
              <w:bidi w:val="0"/>
              <w:spacing w:line="320" w:lineRule="exact"/>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5</w:t>
            </w:r>
          </w:p>
        </w:tc>
        <w:tc>
          <w:tcPr>
            <w:tcW w:w="1414"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柳江区</w:t>
            </w:r>
          </w:p>
        </w:tc>
        <w:tc>
          <w:tcPr>
            <w:tcW w:w="2443"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柳州柳工挖掘机有限公司</w:t>
            </w:r>
          </w:p>
        </w:tc>
        <w:tc>
          <w:tcPr>
            <w:tcW w:w="1618"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关停</w:t>
            </w:r>
          </w:p>
        </w:tc>
        <w:tc>
          <w:tcPr>
            <w:tcW w:w="2250"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挥发性有机物治理</w:t>
            </w:r>
          </w:p>
        </w:tc>
        <w:tc>
          <w:tcPr>
            <w:tcW w:w="1565" w:type="dxa"/>
            <w:noWrap w:val="0"/>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3" w:hRule="atLeast"/>
          <w:jc w:val="center"/>
        </w:trPr>
        <w:tc>
          <w:tcPr>
            <w:tcW w:w="883" w:type="dxa"/>
            <w:noWrap w:val="0"/>
            <w:vAlign w:val="center"/>
          </w:tcPr>
          <w:p>
            <w:pPr>
              <w:pStyle w:val="5"/>
              <w:keepNext w:val="0"/>
              <w:keepLines w:val="0"/>
              <w:pageBreakBefore w:val="0"/>
              <w:kinsoku/>
              <w:wordWrap/>
              <w:overflowPunct/>
              <w:topLinePunct w:val="0"/>
              <w:autoSpaceDE/>
              <w:autoSpaceDN/>
              <w:bidi w:val="0"/>
              <w:spacing w:line="320" w:lineRule="exact"/>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6</w:t>
            </w:r>
          </w:p>
        </w:tc>
        <w:tc>
          <w:tcPr>
            <w:tcW w:w="14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柳江区</w:t>
            </w:r>
          </w:p>
        </w:tc>
        <w:tc>
          <w:tcPr>
            <w:tcW w:w="24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中国石油天然气股份有限公司广西柳州销售分公司（柳江油库）</w:t>
            </w:r>
          </w:p>
        </w:tc>
        <w:tc>
          <w:tcPr>
            <w:tcW w:w="16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i w:val="0"/>
                <w:iCs w:val="0"/>
                <w:color w:val="auto"/>
                <w:kern w:val="0"/>
                <w:sz w:val="24"/>
                <w:szCs w:val="24"/>
                <w:highlight w:val="none"/>
                <w:u w:val="none"/>
                <w:lang w:val="en-US" w:eastAsia="zh-CN" w:bidi="ar"/>
              </w:rPr>
              <w:t>柳江油库储罐浮盘改造项目</w:t>
            </w:r>
          </w:p>
        </w:tc>
        <w:tc>
          <w:tcPr>
            <w:tcW w:w="2250" w:type="dxa"/>
            <w:noWrap w:val="0"/>
            <w:vAlign w:val="center"/>
          </w:tcPr>
          <w:p>
            <w:pPr>
              <w:pStyle w:val="5"/>
              <w:keepNext w:val="0"/>
              <w:keepLines w:val="0"/>
              <w:pageBreakBefore w:val="0"/>
              <w:kinsoku/>
              <w:wordWrap/>
              <w:overflowPunct/>
              <w:topLinePunct w:val="0"/>
              <w:autoSpaceDE/>
              <w:autoSpaceDN/>
              <w:bidi w:val="0"/>
              <w:spacing w:line="320" w:lineRule="exact"/>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2023年遗漏项目</w:t>
            </w:r>
          </w:p>
        </w:tc>
        <w:tc>
          <w:tcPr>
            <w:tcW w:w="1565" w:type="dxa"/>
            <w:noWrap w:val="0"/>
            <w:vAlign w:val="center"/>
          </w:tcPr>
          <w:p>
            <w:pPr>
              <w:pStyle w:val="5"/>
              <w:keepNext w:val="0"/>
              <w:keepLines w:val="0"/>
              <w:pageBreakBefore w:val="0"/>
              <w:kinsoku/>
              <w:wordWrap/>
              <w:overflowPunct/>
              <w:topLinePunct w:val="0"/>
              <w:autoSpaceDE/>
              <w:autoSpaceDN/>
              <w:bidi w:val="0"/>
              <w:spacing w:line="320" w:lineRule="exact"/>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lang w:val="en-US" w:eastAsia="zh-CN"/>
              </w:rPr>
              <w:t>采用“全接液玻璃钢浮盘+大补偿二次密封”的内浮顶罐浮盘改造技术，于</w:t>
            </w:r>
            <w:r>
              <w:rPr>
                <w:rFonts w:hint="default" w:ascii="Times New Roman" w:hAnsi="Times New Roman" w:eastAsia="仿宋_GB2312" w:cs="Times New Roman"/>
                <w:i w:val="0"/>
                <w:iCs w:val="0"/>
                <w:color w:val="auto"/>
                <w:kern w:val="0"/>
                <w:sz w:val="24"/>
                <w:szCs w:val="24"/>
                <w:highlight w:val="none"/>
                <w:u w:val="none"/>
                <w:lang w:val="en-US" w:eastAsia="zh-CN" w:bidi="ar"/>
              </w:rPr>
              <w:t>2023年完成</w:t>
            </w:r>
            <w:r>
              <w:rPr>
                <w:rFonts w:hint="default" w:ascii="Times New Roman" w:hAnsi="Times New Roman" w:eastAsia="仿宋_GB2312" w:cs="Times New Roman"/>
                <w:color w:val="auto"/>
                <w:sz w:val="24"/>
                <w:szCs w:val="24"/>
                <w:highlight w:val="none"/>
                <w:lang w:val="en-US" w:eastAsia="zh-CN"/>
              </w:rPr>
              <w:t>7座内浮顶罐进行浮盘和密封改造。</w:t>
            </w:r>
          </w:p>
        </w:tc>
      </w:tr>
    </w:tbl>
    <w:p>
      <w:pPr>
        <w:rPr>
          <w:color w:val="auto"/>
          <w:highlight w:val="none"/>
        </w:rPr>
      </w:pPr>
    </w:p>
    <w:sectPr>
      <w:pgSz w:w="11906" w:h="16838"/>
      <w:pgMar w:top="2098" w:right="1361"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新宋体′....">
    <w:altName w:val="宋体"/>
    <w:panose1 w:val="00000000000000000000"/>
    <w:charset w:val="00"/>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7"/>
                            <w:ind w:right="280"/>
                            <w:jc w:val="right"/>
                          </w:pPr>
                          <w:r>
                            <w:rPr>
                              <w:rFonts w:hint="default" w:ascii="Times New Roman" w:hAnsi="Times New Roman" w:cs="Times New Roman"/>
                              <w:kern w:val="0"/>
                              <w:sz w:val="28"/>
                              <w:szCs w:val="28"/>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4</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8"/>
                              <w:szCs w:val="28"/>
                            </w:rPr>
                            <w:t xml:space="preserve"> —</w:t>
                          </w:r>
                        </w:p>
                        <w:p>
                          <w:pPr>
                            <w:pStyle w:val="7"/>
                            <w:rPr>
                              <w:rFonts w:hint="eastAsia" w:eastAsia="宋体"/>
                              <w:lang w:eastAsia="zh-CN"/>
                            </w:rPr>
                          </w:pPr>
                        </w:p>
                      </w:txbxContent>
                    </wps:txbx>
                    <wps:bodyPr wrap="none" lIns="0" tIns="0" rIns="0" bIns="0"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EKVGgu9AQAAWwMAAA4AAAAAAAAAAQAgAAAANQEA&#10;AGRycy9lMm9Eb2MueG1sUEsFBgAAAAAGAAYAWQEAAGQFAAAAAA==&#10;">
              <v:fill on="f" focussize="0,0"/>
              <v:stroke on="f" weight="0.5pt"/>
              <v:imagedata o:title=""/>
              <o:lock v:ext="edit" aspectratio="f"/>
              <v:textbox inset="0mm,0mm,0mm,0mm" style="mso-fit-shape-to-text:t;">
                <w:txbxContent>
                  <w:p>
                    <w:pPr>
                      <w:pStyle w:val="7"/>
                      <w:ind w:right="280"/>
                      <w:jc w:val="right"/>
                    </w:pPr>
                    <w:r>
                      <w:rPr>
                        <w:rFonts w:hint="default" w:ascii="Times New Roman" w:hAnsi="Times New Roman" w:cs="Times New Roman"/>
                        <w:kern w:val="0"/>
                        <w:sz w:val="28"/>
                        <w:szCs w:val="28"/>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4</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8"/>
                        <w:szCs w:val="28"/>
                      </w:rPr>
                      <w:t xml:space="preserve"> —</w:t>
                    </w:r>
                  </w:p>
                  <w:p>
                    <w:pPr>
                      <w:pStyle w:val="7"/>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470BB"/>
    <w:rsid w:val="14BC013F"/>
    <w:rsid w:val="1FAE54EA"/>
    <w:rsid w:val="1FFDFBC6"/>
    <w:rsid w:val="27EB9C22"/>
    <w:rsid w:val="2A671D88"/>
    <w:rsid w:val="3367D9F5"/>
    <w:rsid w:val="35FFDBC1"/>
    <w:rsid w:val="3EAB0813"/>
    <w:rsid w:val="3FE5EEBB"/>
    <w:rsid w:val="3FEA9B70"/>
    <w:rsid w:val="43C32A74"/>
    <w:rsid w:val="47174C22"/>
    <w:rsid w:val="5AEBE47B"/>
    <w:rsid w:val="5BA035AF"/>
    <w:rsid w:val="5C1F2998"/>
    <w:rsid w:val="5D863E8C"/>
    <w:rsid w:val="5DEFACC5"/>
    <w:rsid w:val="623913EC"/>
    <w:rsid w:val="64DF916A"/>
    <w:rsid w:val="676EB607"/>
    <w:rsid w:val="67EA895B"/>
    <w:rsid w:val="6D9CBC84"/>
    <w:rsid w:val="6DFF0A53"/>
    <w:rsid w:val="6EDEDB02"/>
    <w:rsid w:val="73FDFC48"/>
    <w:rsid w:val="77DE3846"/>
    <w:rsid w:val="77FEC1E7"/>
    <w:rsid w:val="79D91DE7"/>
    <w:rsid w:val="7B6F5469"/>
    <w:rsid w:val="7BBF3B40"/>
    <w:rsid w:val="7BDF67E4"/>
    <w:rsid w:val="7BE46B46"/>
    <w:rsid w:val="7BED04FA"/>
    <w:rsid w:val="7BFFFF40"/>
    <w:rsid w:val="7C2D7680"/>
    <w:rsid w:val="7D956E21"/>
    <w:rsid w:val="7DEF0134"/>
    <w:rsid w:val="7FFF6344"/>
    <w:rsid w:val="97B9EEF4"/>
    <w:rsid w:val="AF7B5C44"/>
    <w:rsid w:val="B97CBF97"/>
    <w:rsid w:val="BBDD06EC"/>
    <w:rsid w:val="C9603F49"/>
    <w:rsid w:val="CF7703B1"/>
    <w:rsid w:val="CFEFF4D3"/>
    <w:rsid w:val="D17B9E28"/>
    <w:rsid w:val="D7FFFB61"/>
    <w:rsid w:val="DFF71660"/>
    <w:rsid w:val="DFFD808B"/>
    <w:rsid w:val="F14FA97D"/>
    <w:rsid w:val="F3FB2051"/>
    <w:rsid w:val="F6FF4EF2"/>
    <w:rsid w:val="F7FE48E9"/>
    <w:rsid w:val="F7FED2F4"/>
    <w:rsid w:val="F9BC71F1"/>
    <w:rsid w:val="FB675322"/>
    <w:rsid w:val="FBDFD187"/>
    <w:rsid w:val="FCDE46DC"/>
    <w:rsid w:val="FEF35376"/>
    <w:rsid w:val="FEFFD6C5"/>
    <w:rsid w:val="FF3B4127"/>
    <w:rsid w:val="FF7F9538"/>
    <w:rsid w:val="FFDB82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表格文字"/>
    <w:qFormat/>
    <w:uiPriority w:val="0"/>
    <w:pPr>
      <w:widowControl w:val="0"/>
      <w:spacing w:before="25" w:after="25"/>
      <w:jc w:val="left"/>
    </w:pPr>
    <w:rPr>
      <w:rFonts w:ascii="Calibri" w:hAnsi="Calibri" w:eastAsia="宋体" w:cs="Times New Roman"/>
      <w:bCs/>
      <w:spacing w:val="10"/>
      <w:kern w:val="0"/>
      <w:sz w:val="24"/>
      <w:szCs w:val="20"/>
      <w:lang w:val="en-US" w:eastAsia="zh-CN" w:bidi="ar-SA"/>
    </w:rPr>
  </w:style>
  <w:style w:type="paragraph" w:styleId="5">
    <w:name w:val="Body Text"/>
    <w:basedOn w:val="1"/>
    <w:qFormat/>
    <w:uiPriority w:val="0"/>
    <w:pPr>
      <w:adjustRightInd w:val="0"/>
      <w:snapToGrid w:val="0"/>
      <w:spacing w:line="540" w:lineRule="exact"/>
    </w:pPr>
    <w:rPr>
      <w:rFonts w:eastAsia="仿宋_GB2312"/>
      <w:sz w:val="32"/>
    </w:rPr>
  </w:style>
  <w:style w:type="paragraph" w:styleId="6">
    <w:name w:val="Plain Text"/>
    <w:basedOn w:val="1"/>
    <w:qFormat/>
    <w:uiPriority w:val="0"/>
    <w:rPr>
      <w:rFonts w:ascii="宋体" w:hAnsi="Courier New" w:eastAsia="宋体" w:cs="Times New Roman"/>
      <w:sz w:val="21"/>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样式7 Char"/>
    <w:link w:val="14"/>
    <w:qFormat/>
    <w:uiPriority w:val="0"/>
    <w:rPr>
      <w:rFonts w:ascii="黑体" w:hAnsi="黑体" w:eastAsia="楷体" w:cs="Times New Roman"/>
      <w:sz w:val="30"/>
      <w:szCs w:val="30"/>
      <w:lang w:val="en-US" w:eastAsia="zh-CN" w:bidi="ar-SA"/>
    </w:rPr>
  </w:style>
  <w:style w:type="paragraph" w:customStyle="1" w:styleId="14">
    <w:name w:val="楷体"/>
    <w:link w:val="13"/>
    <w:qFormat/>
    <w:uiPriority w:val="0"/>
    <w:rPr>
      <w:rFonts w:ascii="黑体" w:hAnsi="黑体" w:eastAsia="楷体" w:cs="Times New Roman"/>
      <w:sz w:val="30"/>
      <w:szCs w:val="30"/>
      <w:lang w:val="en-US" w:eastAsia="zh-CN" w:bidi="ar-SA"/>
    </w:rPr>
  </w:style>
  <w:style w:type="character" w:customStyle="1" w:styleId="15">
    <w:name w:val="font21"/>
    <w:basedOn w:val="11"/>
    <w:qFormat/>
    <w:uiPriority w:val="0"/>
    <w:rPr>
      <w:rFonts w:ascii="方正小标宋简体" w:hAnsi="方正小标宋简体" w:eastAsia="方正小标宋简体" w:cs="方正小标宋简体"/>
      <w:color w:val="000000"/>
      <w:sz w:val="40"/>
      <w:szCs w:val="40"/>
      <w:u w:val="none"/>
    </w:rPr>
  </w:style>
  <w:style w:type="paragraph" w:customStyle="1" w:styleId="16">
    <w:name w:val="样式 样式 仿宋_GB2312 段前: 0.5 行 段后: 6 磅 行距: 1.5 倍行距 + 首行缩进:  2 字符 段后:...2"/>
    <w:basedOn w:val="1"/>
    <w:qFormat/>
    <w:uiPriority w:val="0"/>
    <w:pPr>
      <w:adjustRightInd w:val="0"/>
      <w:snapToGrid w:val="0"/>
      <w:spacing w:afterLines="100" w:line="300" w:lineRule="auto"/>
      <w:ind w:firstLine="200" w:firstLineChars="200"/>
    </w:pPr>
    <w:rPr>
      <w:rFonts w:ascii="仿宋_GB2312" w:eastAsia="仿宋_GB2312"/>
      <w:sz w:val="28"/>
      <w:szCs w:val="20"/>
    </w:rPr>
  </w:style>
  <w:style w:type="paragraph" w:customStyle="1" w:styleId="17">
    <w:name w:val="Default"/>
    <w:next w:val="1"/>
    <w:qFormat/>
    <w:uiPriority w:val="99"/>
    <w:pPr>
      <w:widowControl w:val="0"/>
      <w:autoSpaceDE w:val="0"/>
      <w:autoSpaceDN w:val="0"/>
      <w:adjustRightInd w:val="0"/>
      <w:jc w:val="both"/>
      <w:textAlignment w:val="baseline"/>
    </w:pPr>
    <w:rPr>
      <w:rFonts w:ascii="新宋体′...." w:hAnsi="Calibri" w:eastAsia="新宋体′...." w:cs="新宋体′...."/>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Administrator</dc:creator>
  <cp:lastModifiedBy>gxxc</cp:lastModifiedBy>
  <dcterms:modified xsi:type="dcterms:W3CDTF">2024-07-23T09:05:05Z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